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page" w:horzAnchor="margin" w:tblpXSpec="center" w:tblpY="766"/>
        <w:tblW w:w="9895" w:type="dxa"/>
        <w:shd w:val="clear" w:color="auto" w:fill="782F40"/>
        <w:tblCellMar>
          <w:left w:w="0" w:type="dxa"/>
          <w:right w:w="0" w:type="dxa"/>
        </w:tblCellMar>
        <w:tblLook w:val="04A0" w:firstRow="1" w:lastRow="0" w:firstColumn="1" w:lastColumn="0" w:noHBand="0" w:noVBand="1"/>
      </w:tblPr>
      <w:tblGrid>
        <w:gridCol w:w="5655"/>
        <w:gridCol w:w="4240"/>
      </w:tblGrid>
      <w:tr w:rsidR="00EC4451" w:rsidRPr="004D437B" w:rsidTr="00EC4451">
        <w:trPr>
          <w:trHeight w:val="2600"/>
        </w:trPr>
        <w:tc>
          <w:tcPr>
            <w:tcW w:w="5685" w:type="dxa"/>
            <w:shd w:val="clear" w:color="auto" w:fill="782F40"/>
            <w:vAlign w:val="center"/>
          </w:tcPr>
          <w:p w:rsidR="00EC4451" w:rsidRPr="004D437B" w:rsidRDefault="00EC4451" w:rsidP="00641C74">
            <w:pPr>
              <w:jc w:val="center"/>
              <w:rPr>
                <w:rFonts w:ascii="Microsoft Sans Serif" w:eastAsia="MS Mincho" w:hAnsi="Microsoft Sans Serif" w:cs="Times New Roman"/>
                <w:noProof/>
                <w:color w:val="000000"/>
                <w:sz w:val="24"/>
              </w:rPr>
            </w:pPr>
            <w:r w:rsidRPr="004D437B">
              <w:rPr>
                <w:rFonts w:ascii="Microsoft Sans Serif" w:eastAsia="MS Mincho" w:hAnsi="Microsoft Sans Serif" w:cs="Times New Roman"/>
                <w:noProof/>
                <w:color w:val="000000"/>
                <w:sz w:val="24"/>
              </w:rPr>
              <mc:AlternateContent>
                <mc:Choice Requires="wps">
                  <w:drawing>
                    <wp:anchor distT="0" distB="0" distL="114300" distR="114300" simplePos="0" relativeHeight="251667456" behindDoc="0" locked="0" layoutInCell="1" allowOverlap="1" wp14:anchorId="72A4A908" wp14:editId="31F57E7C">
                      <wp:simplePos x="0" y="0"/>
                      <wp:positionH relativeFrom="column">
                        <wp:posOffset>69215</wp:posOffset>
                      </wp:positionH>
                      <wp:positionV relativeFrom="paragraph">
                        <wp:posOffset>283210</wp:posOffset>
                      </wp:positionV>
                      <wp:extent cx="3581400" cy="19316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1670"/>
                              </a:xfrm>
                              <a:prstGeom prst="rect">
                                <a:avLst/>
                              </a:prstGeom>
                              <a:noFill/>
                              <a:ln w="9525">
                                <a:noFill/>
                                <a:miter lim="800000"/>
                                <a:headEnd/>
                                <a:tailEnd/>
                              </a:ln>
                            </wps:spPr>
                            <wps:txbx>
                              <w:txbxContent>
                                <w:p w:rsidR="00EC4451" w:rsidRPr="004D437B" w:rsidRDefault="00EC4451" w:rsidP="00EC4451">
                                  <w:pPr>
                                    <w:rPr>
                                      <w:rFonts w:ascii="Arial" w:eastAsia="Calibri" w:hAnsi="Arial" w:cs="Arial"/>
                                      <w:color w:val="FFFFFF" w:themeColor="background1"/>
                                      <w:sz w:val="40"/>
                                      <w:szCs w:val="40"/>
                                    </w:rPr>
                                  </w:pPr>
                                  <w:r w:rsidRPr="004D437B">
                                    <w:rPr>
                                      <w:rFonts w:ascii="Arial" w:eastAsia="Calibri" w:hAnsi="Arial" w:cs="Arial"/>
                                      <w:color w:val="FFFFFF" w:themeColor="background1"/>
                                      <w:sz w:val="40"/>
                                      <w:szCs w:val="40"/>
                                    </w:rPr>
                                    <w:t>Motivating Employees in the Social Services</w:t>
                                  </w:r>
                                </w:p>
                                <w:p w:rsidR="00EC4451" w:rsidRPr="004D437B" w:rsidRDefault="00EC4451" w:rsidP="00EC4451">
                                  <w:pPr>
                                    <w:rPr>
                                      <w:rFonts w:ascii="Arial" w:eastAsia="Calibri" w:hAnsi="Arial" w:cs="Arial"/>
                                      <w:color w:val="FFFFFF" w:themeColor="background1"/>
                                      <w:szCs w:val="28"/>
                                    </w:rPr>
                                  </w:pPr>
                                  <w:r w:rsidRPr="004D437B">
                                    <w:rPr>
                                      <w:rFonts w:ascii="Arial" w:eastAsia="Calibri" w:hAnsi="Arial" w:cs="Arial"/>
                                      <w:color w:val="FFFFFF" w:themeColor="background1"/>
                                      <w:szCs w:val="28"/>
                                    </w:rPr>
                                    <w:t>By Katherine Parker</w:t>
                                  </w:r>
                                </w:p>
                                <w:p w:rsidR="00EC4451" w:rsidRPr="002C5D45" w:rsidRDefault="00EC4451" w:rsidP="00EC4451">
                                  <w:pPr>
                                    <w:rPr>
                                      <w:color w:val="FFFFFF"/>
                                    </w:rPr>
                                  </w:pPr>
                                </w:p>
                              </w:txbxContent>
                            </wps:txbx>
                            <wps:bodyPr rot="0" vert="horz" wrap="square" lIns="18288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72A4A908" id="_x0000_t202" coordsize="21600,21600" o:spt="202" path="m,l,21600r21600,l21600,xe">
                      <v:stroke joinstyle="miter"/>
                      <v:path gradientshapeok="t" o:connecttype="rect"/>
                    </v:shapetype>
                    <v:shape id="Text Box 2" o:spid="_x0000_s1026" type="#_x0000_t202" style="position:absolute;left:0;text-align:left;margin-left:5.45pt;margin-top:22.3pt;width:282pt;height:15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" filled="f" stroked="f">
                      <v:textbox style="mso-fit-shape-to-text:t" inset="14.4pt">
                        <w:txbxContent>
                          <w:p w:rsidR="00EC4451" w:rsidRPr="004D437B" w:rsidRDefault="00EC4451" w:rsidP="00EC4451">
                            <w:pPr>
                              <w:rPr>
                                <w:rFonts w:ascii="Arial" w:eastAsia="Calibri" w:hAnsi="Arial" w:cs="Arial"/>
                                <w:color w:val="FFFFFF" w:themeColor="background1"/>
                                <w:sz w:val="40"/>
                                <w:szCs w:val="40"/>
                              </w:rPr>
                            </w:pPr>
                            <w:r w:rsidRPr="004D437B">
                              <w:rPr>
                                <w:rFonts w:ascii="Arial" w:eastAsia="Calibri" w:hAnsi="Arial" w:cs="Arial"/>
                                <w:color w:val="FFFFFF" w:themeColor="background1"/>
                                <w:sz w:val="40"/>
                                <w:szCs w:val="40"/>
                              </w:rPr>
                              <w:t>Motivating Employees in the Social Services</w:t>
                            </w:r>
                          </w:p>
                          <w:p w:rsidR="00EC4451" w:rsidRPr="004D437B" w:rsidRDefault="00EC4451" w:rsidP="00EC4451">
                            <w:pPr>
                              <w:rPr>
                                <w:rFonts w:ascii="Arial" w:eastAsia="Calibri" w:hAnsi="Arial" w:cs="Arial"/>
                                <w:color w:val="FFFFFF" w:themeColor="background1"/>
                                <w:szCs w:val="28"/>
                              </w:rPr>
                            </w:pPr>
                            <w:r w:rsidRPr="004D437B">
                              <w:rPr>
                                <w:rFonts w:ascii="Arial" w:eastAsia="Calibri" w:hAnsi="Arial" w:cs="Arial"/>
                                <w:color w:val="FFFFFF" w:themeColor="background1"/>
                                <w:szCs w:val="28"/>
                              </w:rPr>
                              <w:t>By Katherine Parker</w:t>
                            </w:r>
                          </w:p>
                          <w:p w:rsidR="00EC4451" w:rsidRPr="002C5D45" w:rsidRDefault="00EC4451" w:rsidP="00EC4451">
                            <w:pPr>
                              <w:rPr>
                                <w:color w:val="FFFFFF"/>
                              </w:rPr>
                            </w:pPr>
                          </w:p>
                        </w:txbxContent>
                      </v:textbox>
                    </v:shape>
                  </w:pict>
                </mc:Fallback>
              </mc:AlternateContent>
            </w:r>
          </w:p>
        </w:tc>
        <w:tc>
          <w:tcPr>
            <w:tcW w:w="4210" w:type="dxa"/>
            <w:shd w:val="clear" w:color="auto" w:fill="782F40"/>
          </w:tcPr>
          <w:p w:rsidR="00EC4451" w:rsidRPr="004D437B" w:rsidRDefault="00EC4451" w:rsidP="00641C74">
            <w:pPr>
              <w:tabs>
                <w:tab w:val="left" w:pos="3905"/>
              </w:tabs>
              <w:rPr>
                <w:rFonts w:ascii="Microsoft Sans Serif" w:eastAsia="MS Mincho" w:hAnsi="Microsoft Sans Serif" w:cs="Times New Roman"/>
                <w:color w:val="000000"/>
                <w:sz w:val="24"/>
              </w:rPr>
            </w:pPr>
            <w:r w:rsidRPr="004D437B">
              <w:rPr>
                <w:rFonts w:ascii="Microsoft Sans Serif" w:eastAsia="MS Mincho" w:hAnsi="Microsoft Sans Serif" w:cs="Times New Roman"/>
                <w:noProof/>
                <w:color w:val="000000"/>
                <w:sz w:val="24"/>
              </w:rPr>
              <w:drawing>
                <wp:inline distT="0" distB="0" distL="0" distR="0" wp14:anchorId="32022826" wp14:editId="17CB1020">
                  <wp:extent cx="2682845" cy="17907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3450" cy="1791104"/>
                          </a:xfrm>
                          <a:prstGeom prst="rect">
                            <a:avLst/>
                          </a:prstGeom>
                          <a:noFill/>
                        </pic:spPr>
                      </pic:pic>
                    </a:graphicData>
                  </a:graphic>
                </wp:inline>
              </w:drawing>
            </w:r>
          </w:p>
        </w:tc>
      </w:tr>
    </w:tbl>
    <w:p w:rsidR="00EC4451" w:rsidRPr="004D437B" w:rsidRDefault="00EC4451" w:rsidP="00EC4451">
      <w:pPr>
        <w:spacing w:after="160" w:line="259" w:lineRule="auto"/>
        <w:rPr>
          <w:rFonts w:ascii="Gadugi" w:eastAsia="Calibri" w:hAnsi="Gadugi" w:cs="Arial"/>
          <w:color w:val="auto"/>
          <w:sz w:val="24"/>
          <w:szCs w:val="24"/>
        </w:rPr>
      </w:pPr>
      <w:r w:rsidRPr="004D437B">
        <w:rPr>
          <w:rFonts w:ascii="Gadugi" w:eastAsia="Calibri" w:hAnsi="Gadugi" w:cs="Arial"/>
          <w:color w:val="auto"/>
          <w:sz w:val="24"/>
          <w:szCs w:val="24"/>
        </w:rPr>
        <w:t>Introduction</w:t>
      </w:r>
    </w:p>
    <w:p w:rsidR="00EC4451" w:rsidRDefault="00EC4451" w:rsidP="00EC4451">
      <w:pPr>
        <w:spacing w:after="160" w:line="259" w:lineRule="auto"/>
        <w:rPr>
          <w:rFonts w:ascii="Gadugi" w:eastAsia="Calibri" w:hAnsi="Gadugi" w:cs="Arial"/>
          <w:b w:val="0"/>
          <w:color w:val="auto"/>
          <w:sz w:val="24"/>
          <w:szCs w:val="24"/>
        </w:rPr>
      </w:pPr>
      <w:r w:rsidRPr="004D437B">
        <w:rPr>
          <w:rFonts w:ascii="Gadugi" w:eastAsia="Calibri" w:hAnsi="Gadugi" w:cs="Arial"/>
          <w:b w:val="0"/>
          <w:color w:val="auto"/>
          <w:sz w:val="24"/>
          <w:szCs w:val="24"/>
        </w:rPr>
        <w:t>The social services are high-demand environments. Social services provide needed resources and support to individuals, families, and c</w:t>
      </w:r>
      <w:r>
        <w:rPr>
          <w:rFonts w:ascii="Gadugi" w:eastAsia="Calibri" w:hAnsi="Gadugi" w:cs="Arial"/>
          <w:b w:val="0"/>
          <w:color w:val="auto"/>
          <w:sz w:val="24"/>
          <w:szCs w:val="24"/>
        </w:rPr>
        <w:t xml:space="preserve">ommunities. Because of the high </w:t>
      </w:r>
      <w:r w:rsidRPr="004D437B">
        <w:rPr>
          <w:rFonts w:ascii="Gadugi" w:eastAsia="Calibri" w:hAnsi="Gadugi" w:cs="Arial"/>
          <w:b w:val="0"/>
          <w:color w:val="auto"/>
          <w:sz w:val="24"/>
          <w:szCs w:val="24"/>
        </w:rPr>
        <w:t xml:space="preserve">demand of work in this sector, employees in the social services may feel discouraged, frustrated, or burnt-out. It is important as social service providers to be aware of these feelings of employees and </w:t>
      </w:r>
      <w:proofErr w:type="gramStart"/>
      <w:r w:rsidRPr="004D437B">
        <w:rPr>
          <w:rFonts w:ascii="Gadugi" w:eastAsia="Calibri" w:hAnsi="Gadugi" w:cs="Arial"/>
          <w:b w:val="0"/>
          <w:color w:val="auto"/>
          <w:sz w:val="24"/>
          <w:szCs w:val="24"/>
        </w:rPr>
        <w:t>to also</w:t>
      </w:r>
      <w:proofErr w:type="gramEnd"/>
      <w:r w:rsidRPr="004D437B">
        <w:rPr>
          <w:rFonts w:ascii="Gadugi" w:eastAsia="Calibri" w:hAnsi="Gadugi" w:cs="Arial"/>
          <w:b w:val="0"/>
          <w:color w:val="auto"/>
          <w:sz w:val="24"/>
          <w:szCs w:val="24"/>
        </w:rPr>
        <w:t xml:space="preserve"> be aware of ways to motivate and encourage employees in the social services.</w:t>
      </w:r>
    </w:p>
    <w:p w:rsidR="00EC4451" w:rsidRPr="004D437B" w:rsidRDefault="00EC4451" w:rsidP="00EC4451">
      <w:pPr>
        <w:spacing w:after="160" w:line="259" w:lineRule="auto"/>
        <w:rPr>
          <w:rFonts w:ascii="Gadugi" w:eastAsia="Calibri" w:hAnsi="Gadugi" w:cs="Arial"/>
          <w:color w:val="auto"/>
          <w:sz w:val="24"/>
          <w:szCs w:val="24"/>
        </w:rPr>
      </w:pPr>
      <w:r w:rsidRPr="004D437B">
        <w:rPr>
          <w:rFonts w:ascii="Gadugi" w:eastAsia="Calibri" w:hAnsi="Gadugi" w:cs="Arial"/>
          <w:color w:val="auto"/>
          <w:sz w:val="24"/>
          <w:szCs w:val="24"/>
        </w:rPr>
        <w:t>Objectives</w:t>
      </w:r>
    </w:p>
    <w:p w:rsidR="00EC4451" w:rsidRPr="004D437B" w:rsidRDefault="00EC4451" w:rsidP="00EC4451">
      <w:pPr>
        <w:spacing w:after="160" w:line="259" w:lineRule="auto"/>
        <w:rPr>
          <w:rFonts w:ascii="Gadugi" w:eastAsia="Calibri" w:hAnsi="Gadugi" w:cs="Arial"/>
          <w:b w:val="0"/>
          <w:color w:val="auto"/>
          <w:sz w:val="24"/>
          <w:szCs w:val="24"/>
        </w:rPr>
      </w:pPr>
      <w:r w:rsidRPr="004D437B">
        <w:rPr>
          <w:rFonts w:ascii="Gadugi" w:eastAsia="Calibri" w:hAnsi="Gadugi" w:cs="Arial"/>
          <w:b w:val="0"/>
          <w:color w:val="auto"/>
          <w:sz w:val="24"/>
          <w:szCs w:val="24"/>
        </w:rPr>
        <w:t>In this E-Press, social service providers will learn ways to motivate employees when they become discouraged with the demand of their work or frustrated with the lack of money as a social service employee.</w:t>
      </w:r>
    </w:p>
    <w:p w:rsidR="00EC4451" w:rsidRDefault="00EC4451" w:rsidP="00EC4451">
      <w:pPr>
        <w:spacing w:after="160" w:line="259" w:lineRule="auto"/>
        <w:rPr>
          <w:rFonts w:ascii="Gadugi" w:eastAsia="Calibri" w:hAnsi="Gadugi" w:cs="Arial"/>
          <w:color w:val="auto"/>
          <w:sz w:val="24"/>
          <w:szCs w:val="24"/>
        </w:rPr>
      </w:pPr>
    </w:p>
    <w:p w:rsidR="00EC4451" w:rsidRDefault="00EC4451" w:rsidP="00EC4451">
      <w:pPr>
        <w:spacing w:after="160" w:line="259" w:lineRule="auto"/>
        <w:rPr>
          <w:rFonts w:ascii="Gadugi" w:eastAsia="Calibri" w:hAnsi="Gadugi" w:cs="Arial"/>
          <w:color w:val="auto"/>
          <w:sz w:val="24"/>
          <w:szCs w:val="24"/>
        </w:rPr>
      </w:pPr>
    </w:p>
    <w:p w:rsidR="00EC4451" w:rsidRDefault="00EC4451" w:rsidP="00EC4451">
      <w:pPr>
        <w:spacing w:after="160" w:line="259" w:lineRule="auto"/>
        <w:rPr>
          <w:rFonts w:ascii="Gadugi" w:eastAsia="Calibri" w:hAnsi="Gadugi" w:cs="Arial"/>
          <w:color w:val="auto"/>
          <w:sz w:val="24"/>
          <w:szCs w:val="24"/>
        </w:rPr>
      </w:pPr>
    </w:p>
    <w:p w:rsidR="00EC4451" w:rsidRDefault="00EC4451" w:rsidP="00EC4451">
      <w:pPr>
        <w:spacing w:after="160" w:line="259" w:lineRule="auto"/>
        <w:rPr>
          <w:rFonts w:ascii="Gadugi" w:eastAsia="Calibri" w:hAnsi="Gadugi" w:cs="Arial"/>
          <w:color w:val="auto"/>
          <w:sz w:val="24"/>
          <w:szCs w:val="24"/>
        </w:rPr>
      </w:pPr>
    </w:p>
    <w:p w:rsidR="00EC4451" w:rsidRDefault="00EC4451" w:rsidP="00EC4451">
      <w:pPr>
        <w:spacing w:after="160" w:line="259" w:lineRule="auto"/>
        <w:rPr>
          <w:rFonts w:ascii="Gadugi" w:eastAsia="Calibri" w:hAnsi="Gadugi" w:cs="Arial"/>
          <w:color w:val="auto"/>
          <w:sz w:val="24"/>
          <w:szCs w:val="24"/>
        </w:rPr>
      </w:pPr>
    </w:p>
    <w:p w:rsidR="00EC4451" w:rsidRDefault="00EC4451" w:rsidP="00EC4451">
      <w:pPr>
        <w:spacing w:after="160" w:line="259" w:lineRule="auto"/>
        <w:rPr>
          <w:rFonts w:ascii="Gadugi" w:eastAsia="Calibri" w:hAnsi="Gadugi" w:cs="Arial"/>
          <w:color w:val="auto"/>
          <w:sz w:val="24"/>
          <w:szCs w:val="24"/>
        </w:rPr>
      </w:pPr>
    </w:p>
    <w:p w:rsidR="00EC4451" w:rsidRDefault="00EC4451" w:rsidP="00EC4451">
      <w:pPr>
        <w:spacing w:after="160" w:line="259" w:lineRule="auto"/>
        <w:rPr>
          <w:rFonts w:ascii="Gadugi" w:eastAsia="Calibri" w:hAnsi="Gadugi" w:cs="Arial"/>
          <w:color w:val="auto"/>
          <w:sz w:val="24"/>
          <w:szCs w:val="24"/>
        </w:rPr>
      </w:pPr>
    </w:p>
    <w:p w:rsidR="00EC4451" w:rsidRDefault="00EC4451" w:rsidP="00EC4451">
      <w:pPr>
        <w:spacing w:after="160" w:line="259" w:lineRule="auto"/>
        <w:rPr>
          <w:rFonts w:ascii="Gadugi" w:eastAsia="Calibri" w:hAnsi="Gadugi" w:cs="Arial"/>
          <w:color w:val="auto"/>
          <w:sz w:val="24"/>
          <w:szCs w:val="24"/>
        </w:rPr>
      </w:pPr>
    </w:p>
    <w:p w:rsidR="00EC4451" w:rsidRPr="004D437B" w:rsidRDefault="00EC4451" w:rsidP="00EC4451">
      <w:pPr>
        <w:spacing w:after="160" w:line="259" w:lineRule="auto"/>
        <w:rPr>
          <w:rFonts w:ascii="Gadugi" w:eastAsia="Calibri" w:hAnsi="Gadugi" w:cs="Arial"/>
          <w:color w:val="auto"/>
          <w:sz w:val="24"/>
          <w:szCs w:val="24"/>
        </w:rPr>
      </w:pPr>
      <w:r w:rsidRPr="004D437B">
        <w:rPr>
          <w:rFonts w:ascii="Gadugi" w:eastAsia="Calibri" w:hAnsi="Gadugi" w:cs="Arial"/>
          <w:color w:val="auto"/>
          <w:sz w:val="24"/>
          <w:szCs w:val="24"/>
        </w:rPr>
        <w:t>Ways to Motivate Social Service Employees</w:t>
      </w:r>
    </w:p>
    <w:p w:rsidR="00EC4451" w:rsidRPr="004D437B" w:rsidRDefault="00EC4451" w:rsidP="00EC4451">
      <w:pPr>
        <w:spacing w:after="160" w:line="259" w:lineRule="auto"/>
        <w:rPr>
          <w:rFonts w:ascii="Gadugi" w:eastAsia="Calibri" w:hAnsi="Gadugi" w:cs="Arial"/>
          <w:b w:val="0"/>
          <w:color w:val="auto"/>
          <w:sz w:val="24"/>
          <w:szCs w:val="24"/>
        </w:rPr>
      </w:pPr>
      <w:r w:rsidRPr="004D437B">
        <w:rPr>
          <w:rFonts w:ascii="Gadugi" w:eastAsia="Calibri" w:hAnsi="Gadugi" w:cs="Arial"/>
          <w:b w:val="0"/>
          <w:color w:val="auto"/>
          <w:sz w:val="24"/>
          <w:szCs w:val="24"/>
        </w:rPr>
        <w:t>Social service employees due to the high demand and stressful environment of the social services may experience burnout. It is important and necessary for social service providers to be aware of burnout and actively work to creative a positive work environment. Some ways that social service providers can motivate their employees can be broken down into four types:</w:t>
      </w:r>
    </w:p>
    <w:tbl>
      <w:tblPr>
        <w:tblStyle w:val="TableGrid"/>
        <w:tblW w:w="5220" w:type="dxa"/>
        <w:tblInd w:w="-275" w:type="dxa"/>
        <w:tblLayout w:type="fixed"/>
        <w:tblLook w:val="04A0" w:firstRow="1" w:lastRow="0" w:firstColumn="1" w:lastColumn="0" w:noHBand="0" w:noVBand="1"/>
      </w:tblPr>
      <w:tblGrid>
        <w:gridCol w:w="1440"/>
        <w:gridCol w:w="1890"/>
        <w:gridCol w:w="1890"/>
      </w:tblGrid>
      <w:tr w:rsidR="00EC4451" w:rsidTr="00641C74">
        <w:tc>
          <w:tcPr>
            <w:tcW w:w="1440" w:type="dxa"/>
          </w:tcPr>
          <w:p w:rsidR="00EC4451" w:rsidRDefault="00EC4451" w:rsidP="00641C74">
            <w:pPr>
              <w:rPr>
                <w:rFonts w:ascii="Arial" w:hAnsi="Arial" w:cs="Arial"/>
                <w:sz w:val="24"/>
                <w:szCs w:val="40"/>
              </w:rPr>
            </w:pPr>
            <w:r>
              <w:rPr>
                <w:rFonts w:ascii="Arial" w:hAnsi="Arial" w:cs="Arial"/>
                <w:sz w:val="24"/>
                <w:szCs w:val="40"/>
              </w:rPr>
              <w:t>Type of Motivation</w:t>
            </w:r>
          </w:p>
        </w:tc>
        <w:tc>
          <w:tcPr>
            <w:tcW w:w="1890" w:type="dxa"/>
          </w:tcPr>
          <w:p w:rsidR="00EC4451" w:rsidRDefault="00EC4451" w:rsidP="00641C74">
            <w:pPr>
              <w:rPr>
                <w:rFonts w:ascii="Arial" w:hAnsi="Arial" w:cs="Arial"/>
                <w:sz w:val="24"/>
                <w:szCs w:val="40"/>
              </w:rPr>
            </w:pPr>
            <w:r>
              <w:rPr>
                <w:rFonts w:ascii="Arial" w:hAnsi="Arial" w:cs="Arial"/>
                <w:sz w:val="24"/>
                <w:szCs w:val="40"/>
              </w:rPr>
              <w:t>Explanation of Motivation</w:t>
            </w:r>
          </w:p>
        </w:tc>
        <w:tc>
          <w:tcPr>
            <w:tcW w:w="1890" w:type="dxa"/>
          </w:tcPr>
          <w:p w:rsidR="00EC4451" w:rsidRDefault="00EC4451" w:rsidP="00641C74">
            <w:pPr>
              <w:rPr>
                <w:rFonts w:ascii="Arial" w:hAnsi="Arial" w:cs="Arial"/>
                <w:sz w:val="24"/>
                <w:szCs w:val="40"/>
              </w:rPr>
            </w:pPr>
            <w:r>
              <w:rPr>
                <w:rFonts w:ascii="Arial" w:hAnsi="Arial" w:cs="Arial"/>
                <w:sz w:val="24"/>
                <w:szCs w:val="40"/>
              </w:rPr>
              <w:t>Examples of Motivation</w:t>
            </w:r>
          </w:p>
        </w:tc>
      </w:tr>
      <w:tr w:rsidR="00EC4451" w:rsidTr="00641C74">
        <w:tc>
          <w:tcPr>
            <w:tcW w:w="1440" w:type="dxa"/>
          </w:tcPr>
          <w:p w:rsidR="00EC4451" w:rsidRPr="00373B75" w:rsidRDefault="00EC4451" w:rsidP="00641C74">
            <w:pPr>
              <w:rPr>
                <w:rFonts w:ascii="Arial" w:hAnsi="Arial" w:cs="Arial"/>
                <w:color w:val="FF0000"/>
                <w:sz w:val="24"/>
                <w:szCs w:val="40"/>
              </w:rPr>
            </w:pPr>
            <w:r w:rsidRPr="00373B75">
              <w:rPr>
                <w:rFonts w:ascii="Arial" w:hAnsi="Arial" w:cs="Arial"/>
                <w:color w:val="FF0000"/>
                <w:sz w:val="24"/>
                <w:szCs w:val="40"/>
              </w:rPr>
              <w:t xml:space="preserve">Intrinsic </w:t>
            </w:r>
          </w:p>
        </w:tc>
        <w:tc>
          <w:tcPr>
            <w:tcW w:w="1890" w:type="dxa"/>
          </w:tcPr>
          <w:p w:rsidR="00EC4451" w:rsidRPr="00373B75" w:rsidRDefault="00EC4451" w:rsidP="00641C74">
            <w:pPr>
              <w:rPr>
                <w:rFonts w:ascii="Arial" w:hAnsi="Arial" w:cs="Arial"/>
                <w:b w:val="0"/>
                <w:color w:val="FF0000"/>
                <w:sz w:val="24"/>
                <w:szCs w:val="40"/>
              </w:rPr>
            </w:pPr>
            <w:r w:rsidRPr="00373B75">
              <w:rPr>
                <w:rFonts w:ascii="Arial" w:hAnsi="Arial" w:cs="Arial"/>
                <w:b w:val="0"/>
                <w:color w:val="FF0000"/>
                <w:sz w:val="24"/>
                <w:szCs w:val="40"/>
              </w:rPr>
              <w:t>An employee’s attitude towards his or her work.</w:t>
            </w:r>
          </w:p>
        </w:tc>
        <w:tc>
          <w:tcPr>
            <w:tcW w:w="1890" w:type="dxa"/>
          </w:tcPr>
          <w:p w:rsidR="00EC4451" w:rsidRPr="00373B75" w:rsidRDefault="00EC4451" w:rsidP="00641C74">
            <w:pPr>
              <w:rPr>
                <w:rFonts w:ascii="Arial" w:hAnsi="Arial" w:cs="Arial"/>
                <w:b w:val="0"/>
                <w:color w:val="FF0000"/>
                <w:sz w:val="24"/>
                <w:szCs w:val="40"/>
              </w:rPr>
            </w:pPr>
            <w:r w:rsidRPr="00373B75">
              <w:rPr>
                <w:rFonts w:ascii="Arial" w:hAnsi="Arial" w:cs="Arial"/>
                <w:b w:val="0"/>
                <w:color w:val="FF0000"/>
                <w:sz w:val="24"/>
                <w:szCs w:val="40"/>
              </w:rPr>
              <w:t>Give constructive feedback</w:t>
            </w:r>
            <w:r>
              <w:rPr>
                <w:rFonts w:ascii="Arial" w:hAnsi="Arial" w:cs="Arial"/>
                <w:b w:val="0"/>
                <w:color w:val="FF0000"/>
                <w:sz w:val="24"/>
                <w:szCs w:val="40"/>
              </w:rPr>
              <w:t>.</w:t>
            </w:r>
          </w:p>
          <w:p w:rsidR="00EC4451" w:rsidRPr="00373B75" w:rsidRDefault="00EC4451" w:rsidP="00641C74">
            <w:pPr>
              <w:rPr>
                <w:rFonts w:ascii="Arial" w:hAnsi="Arial" w:cs="Arial"/>
                <w:b w:val="0"/>
                <w:color w:val="FF0000"/>
                <w:sz w:val="24"/>
                <w:szCs w:val="40"/>
              </w:rPr>
            </w:pPr>
          </w:p>
          <w:p w:rsidR="00EC4451" w:rsidRPr="00373B75" w:rsidRDefault="00EC4451" w:rsidP="00641C74">
            <w:pPr>
              <w:rPr>
                <w:rFonts w:ascii="Arial" w:hAnsi="Arial" w:cs="Arial"/>
                <w:b w:val="0"/>
                <w:color w:val="FF0000"/>
                <w:sz w:val="24"/>
                <w:szCs w:val="40"/>
              </w:rPr>
            </w:pPr>
            <w:r w:rsidRPr="00373B75">
              <w:rPr>
                <w:rFonts w:ascii="Arial" w:hAnsi="Arial" w:cs="Arial"/>
                <w:b w:val="0"/>
                <w:color w:val="FF0000"/>
                <w:sz w:val="24"/>
                <w:szCs w:val="40"/>
              </w:rPr>
              <w:t>Give employees their space to work</w:t>
            </w:r>
            <w:r>
              <w:rPr>
                <w:rFonts w:ascii="Arial" w:hAnsi="Arial" w:cs="Arial"/>
                <w:b w:val="0"/>
                <w:color w:val="FF0000"/>
                <w:sz w:val="24"/>
                <w:szCs w:val="40"/>
              </w:rPr>
              <w:t>.</w:t>
            </w:r>
          </w:p>
          <w:p w:rsidR="00EC4451" w:rsidRPr="00373B75" w:rsidRDefault="00EC4451" w:rsidP="00641C74">
            <w:pPr>
              <w:rPr>
                <w:rFonts w:ascii="Arial" w:hAnsi="Arial" w:cs="Arial"/>
                <w:b w:val="0"/>
                <w:color w:val="FF0000"/>
                <w:sz w:val="24"/>
                <w:szCs w:val="40"/>
              </w:rPr>
            </w:pPr>
          </w:p>
          <w:p w:rsidR="00EC4451" w:rsidRPr="00373B75" w:rsidRDefault="00EC4451" w:rsidP="00641C74">
            <w:pPr>
              <w:rPr>
                <w:rFonts w:ascii="Arial" w:hAnsi="Arial" w:cs="Arial"/>
                <w:b w:val="0"/>
                <w:color w:val="FF0000"/>
                <w:sz w:val="24"/>
                <w:szCs w:val="40"/>
              </w:rPr>
            </w:pPr>
            <w:r w:rsidRPr="00373B75">
              <w:rPr>
                <w:rFonts w:ascii="Arial" w:hAnsi="Arial" w:cs="Arial"/>
                <w:b w:val="0"/>
                <w:color w:val="FF0000"/>
                <w:sz w:val="24"/>
                <w:szCs w:val="40"/>
              </w:rPr>
              <w:t>Give, and trust, employees with new tasks</w:t>
            </w:r>
            <w:r>
              <w:rPr>
                <w:rFonts w:ascii="Arial" w:hAnsi="Arial" w:cs="Arial"/>
                <w:b w:val="0"/>
                <w:color w:val="FF0000"/>
                <w:sz w:val="24"/>
                <w:szCs w:val="40"/>
              </w:rPr>
              <w:t>.</w:t>
            </w:r>
          </w:p>
        </w:tc>
      </w:tr>
      <w:tr w:rsidR="00EC4451" w:rsidTr="00641C74">
        <w:tc>
          <w:tcPr>
            <w:tcW w:w="1440" w:type="dxa"/>
          </w:tcPr>
          <w:p w:rsidR="00EC4451" w:rsidRPr="00373B75" w:rsidRDefault="00EC4451" w:rsidP="00641C74">
            <w:pPr>
              <w:rPr>
                <w:rFonts w:ascii="Arial" w:hAnsi="Arial" w:cs="Arial"/>
                <w:color w:val="FFC000"/>
                <w:sz w:val="24"/>
                <w:szCs w:val="40"/>
              </w:rPr>
            </w:pPr>
            <w:r w:rsidRPr="00373B75">
              <w:rPr>
                <w:rFonts w:ascii="Arial" w:hAnsi="Arial" w:cs="Arial"/>
                <w:color w:val="FFC000"/>
                <w:sz w:val="24"/>
                <w:szCs w:val="40"/>
              </w:rPr>
              <w:t>Extrinsic</w:t>
            </w:r>
          </w:p>
        </w:tc>
        <w:tc>
          <w:tcPr>
            <w:tcW w:w="1890" w:type="dxa"/>
          </w:tcPr>
          <w:p w:rsidR="00EC4451" w:rsidRPr="00373B75" w:rsidRDefault="00EC4451" w:rsidP="00641C74">
            <w:pPr>
              <w:rPr>
                <w:rFonts w:ascii="Arial" w:hAnsi="Arial" w:cs="Arial"/>
                <w:b w:val="0"/>
                <w:color w:val="FFC000"/>
                <w:sz w:val="24"/>
                <w:szCs w:val="40"/>
              </w:rPr>
            </w:pPr>
            <w:r w:rsidRPr="00373B75">
              <w:rPr>
                <w:rFonts w:ascii="Arial" w:hAnsi="Arial" w:cs="Arial"/>
                <w:b w:val="0"/>
                <w:color w:val="FFC000"/>
                <w:sz w:val="24"/>
                <w:szCs w:val="40"/>
              </w:rPr>
              <w:t xml:space="preserve">Employees work </w:t>
            </w:r>
            <w:proofErr w:type="gramStart"/>
            <w:r w:rsidRPr="00373B75">
              <w:rPr>
                <w:rFonts w:ascii="Arial" w:hAnsi="Arial" w:cs="Arial"/>
                <w:b w:val="0"/>
                <w:color w:val="FFC000"/>
                <w:sz w:val="24"/>
                <w:szCs w:val="40"/>
              </w:rPr>
              <w:t>towards positive results or to avoid negative results</w:t>
            </w:r>
            <w:proofErr w:type="gramEnd"/>
            <w:r w:rsidRPr="00373B75">
              <w:rPr>
                <w:rFonts w:ascii="Arial" w:hAnsi="Arial" w:cs="Arial"/>
                <w:b w:val="0"/>
                <w:color w:val="FFC000"/>
                <w:sz w:val="24"/>
                <w:szCs w:val="40"/>
              </w:rPr>
              <w:t>. Most often used by employers.</w:t>
            </w:r>
          </w:p>
        </w:tc>
        <w:tc>
          <w:tcPr>
            <w:tcW w:w="1890" w:type="dxa"/>
          </w:tcPr>
          <w:p w:rsidR="00EC4451" w:rsidRDefault="00EC4451" w:rsidP="00641C74">
            <w:pPr>
              <w:rPr>
                <w:rFonts w:ascii="Arial" w:hAnsi="Arial" w:cs="Arial"/>
                <w:b w:val="0"/>
                <w:color w:val="FFC000"/>
                <w:sz w:val="24"/>
                <w:szCs w:val="40"/>
              </w:rPr>
            </w:pPr>
            <w:r w:rsidRPr="00373B75">
              <w:rPr>
                <w:rFonts w:ascii="Arial" w:hAnsi="Arial" w:cs="Arial"/>
                <w:b w:val="0"/>
                <w:color w:val="FFC000"/>
                <w:sz w:val="24"/>
                <w:szCs w:val="40"/>
              </w:rPr>
              <w:t>Create clear expectations and deadlines</w:t>
            </w:r>
            <w:r>
              <w:rPr>
                <w:rFonts w:ascii="Arial" w:hAnsi="Arial" w:cs="Arial"/>
                <w:b w:val="0"/>
                <w:color w:val="FFC000"/>
                <w:sz w:val="24"/>
                <w:szCs w:val="40"/>
              </w:rPr>
              <w:t>.</w:t>
            </w:r>
          </w:p>
          <w:p w:rsidR="00EC4451" w:rsidRDefault="00EC4451" w:rsidP="00641C74">
            <w:pPr>
              <w:rPr>
                <w:rFonts w:ascii="Arial" w:hAnsi="Arial" w:cs="Arial"/>
                <w:b w:val="0"/>
                <w:color w:val="FFC000"/>
                <w:sz w:val="24"/>
                <w:szCs w:val="40"/>
              </w:rPr>
            </w:pPr>
          </w:p>
          <w:p w:rsidR="00EC4451" w:rsidRPr="00373B75" w:rsidRDefault="00EC4451" w:rsidP="00641C74">
            <w:pPr>
              <w:rPr>
                <w:rFonts w:ascii="Arial" w:hAnsi="Arial" w:cs="Arial"/>
                <w:b w:val="0"/>
                <w:color w:val="FFC000"/>
                <w:sz w:val="24"/>
                <w:szCs w:val="40"/>
              </w:rPr>
            </w:pPr>
            <w:r w:rsidRPr="00373B75">
              <w:rPr>
                <w:rFonts w:ascii="Arial" w:hAnsi="Arial" w:cs="Arial"/>
                <w:b w:val="0"/>
                <w:color w:val="FFC000"/>
                <w:sz w:val="24"/>
                <w:szCs w:val="40"/>
              </w:rPr>
              <w:t>Create a rewarding and comfortable environment</w:t>
            </w:r>
            <w:r>
              <w:rPr>
                <w:rFonts w:ascii="Arial" w:hAnsi="Arial" w:cs="Arial"/>
                <w:b w:val="0"/>
                <w:color w:val="FFC000"/>
                <w:sz w:val="24"/>
                <w:szCs w:val="40"/>
              </w:rPr>
              <w:t>.</w:t>
            </w:r>
          </w:p>
          <w:p w:rsidR="00EC4451" w:rsidRPr="00373B75" w:rsidRDefault="00EC4451" w:rsidP="00641C74">
            <w:pPr>
              <w:rPr>
                <w:rFonts w:ascii="Arial" w:hAnsi="Arial" w:cs="Arial"/>
                <w:b w:val="0"/>
                <w:color w:val="FFC000"/>
                <w:sz w:val="24"/>
                <w:szCs w:val="40"/>
              </w:rPr>
            </w:pPr>
          </w:p>
          <w:p w:rsidR="00EC4451" w:rsidRPr="00373B75" w:rsidRDefault="00EC4451" w:rsidP="00641C74">
            <w:pPr>
              <w:rPr>
                <w:rFonts w:ascii="Arial" w:hAnsi="Arial" w:cs="Arial"/>
                <w:b w:val="0"/>
                <w:color w:val="FFC000"/>
                <w:sz w:val="24"/>
                <w:szCs w:val="40"/>
              </w:rPr>
            </w:pPr>
            <w:r w:rsidRPr="00373B75">
              <w:rPr>
                <w:rFonts w:ascii="Arial" w:hAnsi="Arial" w:cs="Arial"/>
                <w:b w:val="0"/>
                <w:color w:val="FFC000"/>
                <w:sz w:val="24"/>
                <w:szCs w:val="40"/>
              </w:rPr>
              <w:lastRenderedPageBreak/>
              <w:t>Thank employees and give recognition for their work</w:t>
            </w:r>
            <w:r>
              <w:rPr>
                <w:rFonts w:ascii="Arial" w:hAnsi="Arial" w:cs="Arial"/>
                <w:b w:val="0"/>
                <w:color w:val="FFC000"/>
                <w:sz w:val="24"/>
                <w:szCs w:val="40"/>
              </w:rPr>
              <w:t>.</w:t>
            </w:r>
          </w:p>
        </w:tc>
      </w:tr>
      <w:tr w:rsidR="00EC4451" w:rsidTr="00641C74">
        <w:tc>
          <w:tcPr>
            <w:tcW w:w="1440" w:type="dxa"/>
          </w:tcPr>
          <w:p w:rsidR="00EC4451" w:rsidRPr="00373B75" w:rsidRDefault="00EC4451" w:rsidP="00641C74">
            <w:pPr>
              <w:rPr>
                <w:rFonts w:ascii="Arial" w:hAnsi="Arial" w:cs="Arial"/>
                <w:color w:val="92D050"/>
                <w:sz w:val="24"/>
                <w:szCs w:val="40"/>
              </w:rPr>
            </w:pPr>
            <w:r w:rsidRPr="00373B75">
              <w:rPr>
                <w:rFonts w:ascii="Arial" w:hAnsi="Arial" w:cs="Arial"/>
                <w:color w:val="92D050"/>
                <w:sz w:val="24"/>
                <w:szCs w:val="40"/>
              </w:rPr>
              <w:lastRenderedPageBreak/>
              <w:t>Personal</w:t>
            </w:r>
          </w:p>
        </w:tc>
        <w:tc>
          <w:tcPr>
            <w:tcW w:w="1890" w:type="dxa"/>
          </w:tcPr>
          <w:p w:rsidR="00EC4451" w:rsidRPr="00373B75" w:rsidRDefault="00EC4451" w:rsidP="00641C74">
            <w:pPr>
              <w:rPr>
                <w:rFonts w:ascii="Arial" w:hAnsi="Arial" w:cs="Arial"/>
                <w:b w:val="0"/>
                <w:color w:val="92D050"/>
                <w:sz w:val="24"/>
                <w:szCs w:val="40"/>
              </w:rPr>
            </w:pPr>
            <w:r w:rsidRPr="00373B75">
              <w:rPr>
                <w:rFonts w:ascii="Arial" w:hAnsi="Arial" w:cs="Arial"/>
                <w:b w:val="0"/>
                <w:color w:val="92D050"/>
                <w:sz w:val="24"/>
                <w:szCs w:val="40"/>
              </w:rPr>
              <w:t>How employees value and spend their time outside of work.</w:t>
            </w:r>
          </w:p>
        </w:tc>
        <w:tc>
          <w:tcPr>
            <w:tcW w:w="1890" w:type="dxa"/>
          </w:tcPr>
          <w:p w:rsidR="00EC4451" w:rsidRDefault="00EC4451" w:rsidP="00641C74">
            <w:pPr>
              <w:rPr>
                <w:rFonts w:ascii="Arial" w:hAnsi="Arial" w:cs="Arial"/>
                <w:b w:val="0"/>
                <w:color w:val="92D050"/>
                <w:sz w:val="24"/>
                <w:szCs w:val="40"/>
              </w:rPr>
            </w:pPr>
            <w:r w:rsidRPr="00373B75">
              <w:rPr>
                <w:rFonts w:ascii="Arial" w:hAnsi="Arial" w:cs="Arial"/>
                <w:b w:val="0"/>
                <w:color w:val="92D050"/>
                <w:sz w:val="24"/>
                <w:szCs w:val="40"/>
              </w:rPr>
              <w:t>Get to know employees</w:t>
            </w:r>
            <w:r>
              <w:rPr>
                <w:rFonts w:ascii="Arial" w:hAnsi="Arial" w:cs="Arial"/>
                <w:b w:val="0"/>
                <w:color w:val="92D050"/>
                <w:sz w:val="24"/>
                <w:szCs w:val="40"/>
              </w:rPr>
              <w:t>.</w:t>
            </w:r>
          </w:p>
          <w:p w:rsidR="00EC4451" w:rsidRPr="00373B75" w:rsidRDefault="00EC4451" w:rsidP="00641C74">
            <w:pPr>
              <w:rPr>
                <w:rFonts w:ascii="Arial" w:hAnsi="Arial" w:cs="Arial"/>
                <w:b w:val="0"/>
                <w:color w:val="92D050"/>
                <w:sz w:val="24"/>
                <w:szCs w:val="40"/>
              </w:rPr>
            </w:pPr>
          </w:p>
          <w:p w:rsidR="00EC4451" w:rsidRDefault="00EC4451" w:rsidP="00641C74">
            <w:pPr>
              <w:rPr>
                <w:rFonts w:ascii="Arial" w:hAnsi="Arial" w:cs="Arial"/>
                <w:b w:val="0"/>
                <w:color w:val="92D050"/>
                <w:sz w:val="24"/>
                <w:szCs w:val="40"/>
              </w:rPr>
            </w:pPr>
            <w:r>
              <w:rPr>
                <w:rFonts w:ascii="Arial" w:hAnsi="Arial" w:cs="Arial"/>
                <w:b w:val="0"/>
                <w:color w:val="92D050"/>
                <w:sz w:val="24"/>
                <w:szCs w:val="40"/>
              </w:rPr>
              <w:t>Celebrate special occasions.</w:t>
            </w:r>
          </w:p>
          <w:p w:rsidR="00EC4451" w:rsidRPr="00373B75" w:rsidRDefault="00EC4451" w:rsidP="00641C74">
            <w:pPr>
              <w:rPr>
                <w:rFonts w:ascii="Arial" w:hAnsi="Arial" w:cs="Arial"/>
                <w:b w:val="0"/>
                <w:color w:val="92D050"/>
                <w:sz w:val="24"/>
                <w:szCs w:val="40"/>
              </w:rPr>
            </w:pPr>
          </w:p>
          <w:p w:rsidR="00EC4451" w:rsidRPr="00373B75" w:rsidRDefault="00EC4451" w:rsidP="00641C74">
            <w:pPr>
              <w:rPr>
                <w:rFonts w:ascii="Arial" w:hAnsi="Arial" w:cs="Arial"/>
                <w:b w:val="0"/>
                <w:color w:val="92D050"/>
                <w:sz w:val="24"/>
                <w:szCs w:val="40"/>
              </w:rPr>
            </w:pPr>
            <w:r w:rsidRPr="00373B75">
              <w:rPr>
                <w:rFonts w:ascii="Arial" w:hAnsi="Arial" w:cs="Arial"/>
                <w:b w:val="0"/>
                <w:color w:val="92D050"/>
                <w:sz w:val="24"/>
                <w:szCs w:val="40"/>
              </w:rPr>
              <w:t>Respect employees’ time</w:t>
            </w:r>
            <w:r>
              <w:rPr>
                <w:rFonts w:ascii="Arial" w:hAnsi="Arial" w:cs="Arial"/>
                <w:b w:val="0"/>
                <w:color w:val="92D050"/>
                <w:sz w:val="24"/>
                <w:szCs w:val="40"/>
              </w:rPr>
              <w:t>.</w:t>
            </w:r>
          </w:p>
        </w:tc>
      </w:tr>
      <w:tr w:rsidR="00EC4451" w:rsidTr="00641C74">
        <w:tc>
          <w:tcPr>
            <w:tcW w:w="1440" w:type="dxa"/>
          </w:tcPr>
          <w:p w:rsidR="00EC4451" w:rsidRPr="00373B75" w:rsidRDefault="00EC4451" w:rsidP="00641C74">
            <w:pPr>
              <w:rPr>
                <w:rFonts w:ascii="Arial" w:hAnsi="Arial" w:cs="Arial"/>
                <w:color w:val="00B0F0"/>
                <w:sz w:val="24"/>
                <w:szCs w:val="40"/>
              </w:rPr>
            </w:pPr>
            <w:r w:rsidRPr="00373B75">
              <w:rPr>
                <w:rFonts w:ascii="Arial" w:hAnsi="Arial" w:cs="Arial"/>
                <w:color w:val="00B0F0"/>
                <w:sz w:val="24"/>
                <w:szCs w:val="40"/>
              </w:rPr>
              <w:t>Peer</w:t>
            </w:r>
          </w:p>
        </w:tc>
        <w:tc>
          <w:tcPr>
            <w:tcW w:w="1890" w:type="dxa"/>
          </w:tcPr>
          <w:p w:rsidR="00EC4451" w:rsidRPr="00373B75" w:rsidRDefault="00EC4451" w:rsidP="00641C74">
            <w:pPr>
              <w:rPr>
                <w:rFonts w:ascii="Arial" w:hAnsi="Arial" w:cs="Arial"/>
                <w:b w:val="0"/>
                <w:color w:val="00B0F0"/>
                <w:sz w:val="24"/>
                <w:szCs w:val="40"/>
              </w:rPr>
            </w:pPr>
            <w:r w:rsidRPr="00373B75">
              <w:rPr>
                <w:rFonts w:ascii="Arial" w:hAnsi="Arial" w:cs="Arial"/>
                <w:b w:val="0"/>
                <w:color w:val="00B0F0"/>
                <w:sz w:val="24"/>
                <w:szCs w:val="40"/>
              </w:rPr>
              <w:t xml:space="preserve">Social influence </w:t>
            </w:r>
            <w:proofErr w:type="gramStart"/>
            <w:r w:rsidRPr="00373B75">
              <w:rPr>
                <w:rFonts w:ascii="Arial" w:hAnsi="Arial" w:cs="Arial"/>
                <w:b w:val="0"/>
                <w:color w:val="00B0F0"/>
                <w:sz w:val="24"/>
                <w:szCs w:val="40"/>
              </w:rPr>
              <w:t>is used</w:t>
            </w:r>
            <w:proofErr w:type="gramEnd"/>
            <w:r w:rsidRPr="00373B75">
              <w:rPr>
                <w:rFonts w:ascii="Arial" w:hAnsi="Arial" w:cs="Arial"/>
                <w:b w:val="0"/>
                <w:color w:val="00B0F0"/>
                <w:sz w:val="24"/>
                <w:szCs w:val="40"/>
              </w:rPr>
              <w:t xml:space="preserve"> to encourage or discourage employees’ behavior.</w:t>
            </w:r>
          </w:p>
        </w:tc>
        <w:tc>
          <w:tcPr>
            <w:tcW w:w="1890" w:type="dxa"/>
          </w:tcPr>
          <w:p w:rsidR="00EC4451" w:rsidRDefault="00EC4451" w:rsidP="00641C74">
            <w:pPr>
              <w:rPr>
                <w:rFonts w:ascii="Arial" w:hAnsi="Arial" w:cs="Arial"/>
                <w:b w:val="0"/>
                <w:color w:val="00B0F0"/>
                <w:sz w:val="24"/>
                <w:szCs w:val="40"/>
              </w:rPr>
            </w:pPr>
            <w:r w:rsidRPr="00373B75">
              <w:rPr>
                <w:rFonts w:ascii="Arial" w:hAnsi="Arial" w:cs="Arial"/>
                <w:b w:val="0"/>
                <w:color w:val="00B0F0"/>
                <w:sz w:val="24"/>
                <w:szCs w:val="40"/>
              </w:rPr>
              <w:t>Encourage team building</w:t>
            </w:r>
            <w:r>
              <w:rPr>
                <w:rFonts w:ascii="Arial" w:hAnsi="Arial" w:cs="Arial"/>
                <w:b w:val="0"/>
                <w:color w:val="00B0F0"/>
                <w:sz w:val="24"/>
                <w:szCs w:val="40"/>
              </w:rPr>
              <w:t>.</w:t>
            </w:r>
          </w:p>
          <w:p w:rsidR="00EC4451" w:rsidRPr="00373B75" w:rsidRDefault="00EC4451" w:rsidP="00641C74">
            <w:pPr>
              <w:rPr>
                <w:rFonts w:ascii="Arial" w:hAnsi="Arial" w:cs="Arial"/>
                <w:b w:val="0"/>
                <w:color w:val="00B0F0"/>
                <w:sz w:val="24"/>
                <w:szCs w:val="40"/>
              </w:rPr>
            </w:pPr>
          </w:p>
          <w:p w:rsidR="00EC4451" w:rsidRDefault="00EC4451" w:rsidP="00641C74">
            <w:pPr>
              <w:rPr>
                <w:rFonts w:ascii="Arial" w:hAnsi="Arial" w:cs="Arial"/>
                <w:b w:val="0"/>
                <w:color w:val="00B0F0"/>
                <w:sz w:val="24"/>
                <w:szCs w:val="40"/>
              </w:rPr>
            </w:pPr>
            <w:r w:rsidRPr="00373B75">
              <w:rPr>
                <w:rFonts w:ascii="Arial" w:hAnsi="Arial" w:cs="Arial"/>
                <w:b w:val="0"/>
                <w:color w:val="00B0F0"/>
                <w:sz w:val="24"/>
                <w:szCs w:val="40"/>
              </w:rPr>
              <w:t>Offer emotional support and encouragement</w:t>
            </w:r>
          </w:p>
          <w:p w:rsidR="00EC4451" w:rsidRPr="00373B75" w:rsidRDefault="00EC4451" w:rsidP="00641C74">
            <w:pPr>
              <w:rPr>
                <w:rFonts w:ascii="Arial" w:hAnsi="Arial" w:cs="Arial"/>
                <w:b w:val="0"/>
                <w:color w:val="00B0F0"/>
                <w:sz w:val="24"/>
                <w:szCs w:val="40"/>
              </w:rPr>
            </w:pPr>
            <w:r w:rsidRPr="00373B75">
              <w:rPr>
                <w:rFonts w:ascii="Arial" w:hAnsi="Arial" w:cs="Arial"/>
                <w:b w:val="0"/>
                <w:color w:val="00B0F0"/>
                <w:sz w:val="24"/>
                <w:szCs w:val="40"/>
              </w:rPr>
              <w:t xml:space="preserve"> </w:t>
            </w:r>
          </w:p>
          <w:p w:rsidR="00EC4451" w:rsidRPr="00373B75" w:rsidRDefault="00EC4451" w:rsidP="00641C74">
            <w:pPr>
              <w:rPr>
                <w:rFonts w:ascii="Arial" w:hAnsi="Arial" w:cs="Arial"/>
                <w:b w:val="0"/>
                <w:color w:val="00B0F0"/>
                <w:sz w:val="24"/>
                <w:szCs w:val="40"/>
              </w:rPr>
            </w:pPr>
            <w:r w:rsidRPr="00373B75">
              <w:rPr>
                <w:rFonts w:ascii="Arial" w:hAnsi="Arial" w:cs="Arial"/>
                <w:b w:val="0"/>
                <w:color w:val="00B0F0"/>
                <w:sz w:val="24"/>
                <w:szCs w:val="40"/>
              </w:rPr>
              <w:t>Involve employees in other parts of the agency</w:t>
            </w:r>
            <w:r>
              <w:rPr>
                <w:rFonts w:ascii="Arial" w:hAnsi="Arial" w:cs="Arial"/>
                <w:b w:val="0"/>
                <w:color w:val="00B0F0"/>
                <w:sz w:val="24"/>
                <w:szCs w:val="40"/>
              </w:rPr>
              <w:t>.</w:t>
            </w:r>
          </w:p>
        </w:tc>
      </w:tr>
    </w:tbl>
    <w:p w:rsidR="00EC4451" w:rsidRPr="004D437B" w:rsidRDefault="00EC4451" w:rsidP="00EC4451">
      <w:pPr>
        <w:spacing w:after="160" w:line="259" w:lineRule="auto"/>
        <w:rPr>
          <w:rFonts w:ascii="Gadugi" w:eastAsia="Calibri" w:hAnsi="Gadugi" w:cs="Arial"/>
          <w:b w:val="0"/>
          <w:color w:val="auto"/>
          <w:sz w:val="24"/>
          <w:szCs w:val="24"/>
        </w:rPr>
      </w:pPr>
    </w:p>
    <w:p w:rsidR="00EC4451" w:rsidRPr="00373B75" w:rsidRDefault="00EC4451" w:rsidP="00EC4451">
      <w:pPr>
        <w:spacing w:after="160" w:line="259" w:lineRule="auto"/>
        <w:rPr>
          <w:rFonts w:ascii="Gadugi" w:eastAsia="Calibri" w:hAnsi="Gadugi" w:cs="Arial"/>
          <w:color w:val="auto"/>
          <w:sz w:val="24"/>
          <w:szCs w:val="24"/>
        </w:rPr>
      </w:pPr>
      <w:r w:rsidRPr="00373B75">
        <w:rPr>
          <w:rFonts w:ascii="Gadugi" w:eastAsia="Calibri" w:hAnsi="Gadugi" w:cs="Arial"/>
          <w:color w:val="auto"/>
          <w:sz w:val="24"/>
          <w:szCs w:val="24"/>
        </w:rPr>
        <w:t xml:space="preserve">Conclusion </w:t>
      </w:r>
    </w:p>
    <w:p w:rsidR="00EC4451" w:rsidRPr="00373B75" w:rsidRDefault="00EC4451" w:rsidP="00EC4451">
      <w:pPr>
        <w:spacing w:after="160" w:line="259" w:lineRule="auto"/>
        <w:rPr>
          <w:rFonts w:ascii="Gadugi" w:eastAsia="Calibri" w:hAnsi="Gadugi" w:cs="Arial"/>
          <w:b w:val="0"/>
          <w:color w:val="auto"/>
          <w:sz w:val="24"/>
          <w:szCs w:val="24"/>
        </w:rPr>
      </w:pPr>
      <w:r w:rsidRPr="00373B75">
        <w:rPr>
          <w:rFonts w:ascii="Gadugi" w:eastAsia="Calibri" w:hAnsi="Gadugi" w:cs="Arial"/>
          <w:b w:val="0"/>
          <w:color w:val="auto"/>
          <w:sz w:val="24"/>
          <w:szCs w:val="24"/>
        </w:rPr>
        <w:t xml:space="preserve">Burnout can cause employees in the social services to consider leaving their position. Social service providers can use the examples listed above to encourage and foster a positive work </w:t>
      </w:r>
      <w:proofErr w:type="gramStart"/>
      <w:r w:rsidRPr="00373B75">
        <w:rPr>
          <w:rFonts w:ascii="Gadugi" w:eastAsia="Calibri" w:hAnsi="Gadugi" w:cs="Arial"/>
          <w:b w:val="0"/>
          <w:color w:val="auto"/>
          <w:sz w:val="24"/>
          <w:szCs w:val="24"/>
        </w:rPr>
        <w:t>environment which</w:t>
      </w:r>
      <w:proofErr w:type="gramEnd"/>
      <w:r w:rsidRPr="00373B75">
        <w:rPr>
          <w:rFonts w:ascii="Gadugi" w:eastAsia="Calibri" w:hAnsi="Gadugi" w:cs="Arial"/>
          <w:b w:val="0"/>
          <w:color w:val="auto"/>
          <w:sz w:val="24"/>
          <w:szCs w:val="24"/>
        </w:rPr>
        <w:t xml:space="preserve"> can help employees to stay motivated and reduce turnover. </w:t>
      </w:r>
    </w:p>
    <w:p w:rsidR="00EC4451" w:rsidRDefault="00EC4451" w:rsidP="00EC4451">
      <w:pPr>
        <w:spacing w:after="160" w:line="259" w:lineRule="auto"/>
        <w:rPr>
          <w:rFonts w:ascii="Gadugi" w:eastAsia="Calibri" w:hAnsi="Gadugi" w:cs="Arial"/>
          <w:color w:val="auto"/>
          <w:sz w:val="24"/>
          <w:szCs w:val="24"/>
        </w:rPr>
      </w:pPr>
    </w:p>
    <w:p w:rsidR="00EC4451" w:rsidRDefault="00EC4451" w:rsidP="00EC4451">
      <w:pPr>
        <w:spacing w:after="160" w:line="259" w:lineRule="auto"/>
        <w:rPr>
          <w:rFonts w:ascii="Gadugi" w:eastAsia="Calibri" w:hAnsi="Gadugi" w:cs="Arial"/>
          <w:color w:val="auto"/>
          <w:sz w:val="24"/>
          <w:szCs w:val="24"/>
        </w:rPr>
      </w:pPr>
    </w:p>
    <w:p w:rsidR="00EC4451" w:rsidRDefault="00EC4451" w:rsidP="00EC4451">
      <w:pPr>
        <w:spacing w:after="160" w:line="259" w:lineRule="auto"/>
        <w:rPr>
          <w:rFonts w:ascii="Gadugi" w:eastAsia="Calibri" w:hAnsi="Gadugi" w:cs="Arial"/>
          <w:color w:val="auto"/>
          <w:sz w:val="24"/>
          <w:szCs w:val="24"/>
        </w:rPr>
      </w:pPr>
    </w:p>
    <w:p w:rsidR="00EC4451" w:rsidRDefault="00EC4451" w:rsidP="00EC4451">
      <w:pPr>
        <w:spacing w:after="160" w:line="259" w:lineRule="auto"/>
        <w:rPr>
          <w:rFonts w:ascii="Gadugi" w:eastAsia="Calibri" w:hAnsi="Gadugi" w:cs="Arial"/>
          <w:color w:val="auto"/>
          <w:sz w:val="24"/>
          <w:szCs w:val="24"/>
        </w:rPr>
      </w:pPr>
    </w:p>
    <w:p w:rsidR="00EC4451" w:rsidRDefault="00EC4451" w:rsidP="00EC4451">
      <w:pPr>
        <w:spacing w:after="160" w:line="259" w:lineRule="auto"/>
        <w:rPr>
          <w:rFonts w:ascii="Gadugi" w:eastAsia="Calibri" w:hAnsi="Gadugi" w:cs="Arial"/>
          <w:color w:val="auto"/>
          <w:sz w:val="24"/>
          <w:szCs w:val="24"/>
        </w:rPr>
      </w:pPr>
    </w:p>
    <w:p w:rsidR="00EC4451" w:rsidRPr="00373B75" w:rsidRDefault="00EC4451" w:rsidP="00EC4451">
      <w:pPr>
        <w:spacing w:after="160" w:line="259" w:lineRule="auto"/>
        <w:rPr>
          <w:rFonts w:ascii="Gadugi" w:eastAsia="Calibri" w:hAnsi="Gadugi" w:cs="Arial"/>
          <w:color w:val="auto"/>
          <w:sz w:val="24"/>
          <w:szCs w:val="24"/>
        </w:rPr>
      </w:pPr>
      <w:bookmarkStart w:id="0" w:name="_GoBack"/>
      <w:bookmarkEnd w:id="0"/>
      <w:r w:rsidRPr="00373B75">
        <w:rPr>
          <w:rFonts w:ascii="Gadugi" w:eastAsia="Calibri" w:hAnsi="Gadugi" w:cs="Arial"/>
          <w:color w:val="auto"/>
          <w:sz w:val="24"/>
          <w:szCs w:val="24"/>
        </w:rPr>
        <w:t>References</w:t>
      </w:r>
    </w:p>
    <w:p w:rsidR="00EC4451" w:rsidRPr="00373B75" w:rsidRDefault="00EC4451" w:rsidP="00EC4451">
      <w:pPr>
        <w:spacing w:after="160" w:line="259" w:lineRule="auto"/>
        <w:rPr>
          <w:rFonts w:ascii="Gadugi" w:eastAsia="Calibri" w:hAnsi="Gadugi" w:cs="Arial"/>
          <w:b w:val="0"/>
          <w:color w:val="auto"/>
          <w:sz w:val="24"/>
          <w:szCs w:val="24"/>
        </w:rPr>
      </w:pPr>
      <w:proofErr w:type="spellStart"/>
      <w:r w:rsidRPr="00373B75">
        <w:rPr>
          <w:rFonts w:ascii="Gadugi" w:eastAsia="Calibri" w:hAnsi="Gadugi" w:cs="Arial"/>
          <w:b w:val="0"/>
          <w:color w:val="auto"/>
          <w:sz w:val="24"/>
          <w:szCs w:val="24"/>
        </w:rPr>
        <w:t>Gendelman</w:t>
      </w:r>
      <w:proofErr w:type="spellEnd"/>
      <w:r w:rsidRPr="00373B75">
        <w:rPr>
          <w:rFonts w:ascii="Gadugi" w:eastAsia="Calibri" w:hAnsi="Gadugi" w:cs="Arial"/>
          <w:b w:val="0"/>
          <w:color w:val="auto"/>
          <w:sz w:val="24"/>
          <w:szCs w:val="24"/>
        </w:rPr>
        <w:t xml:space="preserve">, V. (2016, November 29). </w:t>
      </w:r>
      <w:proofErr w:type="gramStart"/>
      <w:r w:rsidRPr="00373B75">
        <w:rPr>
          <w:rFonts w:ascii="Gadugi" w:eastAsia="Calibri" w:hAnsi="Gadugi" w:cs="Arial"/>
          <w:b w:val="0"/>
          <w:color w:val="auto"/>
          <w:sz w:val="24"/>
          <w:szCs w:val="24"/>
        </w:rPr>
        <w:t>33</w:t>
      </w:r>
      <w:proofErr w:type="gramEnd"/>
      <w:r w:rsidRPr="00373B75">
        <w:rPr>
          <w:rFonts w:ascii="Gadugi" w:eastAsia="Calibri" w:hAnsi="Gadugi" w:cs="Arial"/>
          <w:b w:val="0"/>
          <w:color w:val="auto"/>
          <w:sz w:val="24"/>
          <w:szCs w:val="24"/>
        </w:rPr>
        <w:t xml:space="preserve"> easy ways to motivate your creative employees [Blog post]. Retrieved </w:t>
      </w:r>
      <w:proofErr w:type="gramStart"/>
      <w:r w:rsidRPr="00373B75">
        <w:rPr>
          <w:rFonts w:ascii="Gadugi" w:eastAsia="Calibri" w:hAnsi="Gadugi" w:cs="Arial"/>
          <w:b w:val="0"/>
          <w:color w:val="auto"/>
          <w:sz w:val="24"/>
          <w:szCs w:val="24"/>
        </w:rPr>
        <w:t xml:space="preserve">from  </w:t>
      </w:r>
      <w:proofErr w:type="gramEnd"/>
      <w:r>
        <w:rPr>
          <w:rStyle w:val="Hyperlink"/>
          <w:rFonts w:ascii="Gadugi" w:eastAsia="Calibri" w:hAnsi="Gadugi" w:cs="Arial"/>
          <w:b w:val="0"/>
          <w:sz w:val="24"/>
          <w:szCs w:val="24"/>
        </w:rPr>
        <w:fldChar w:fldCharType="begin"/>
      </w:r>
      <w:r>
        <w:rPr>
          <w:rStyle w:val="Hyperlink"/>
          <w:rFonts w:ascii="Gadugi" w:eastAsia="Calibri" w:hAnsi="Gadugi" w:cs="Arial"/>
          <w:b w:val="0"/>
          <w:sz w:val="24"/>
          <w:szCs w:val="24"/>
        </w:rPr>
        <w:instrText xml:space="preserve"> HYPERLINK "https://www.companyfolders.com/blog/best-ways-to-motivate-employees" </w:instrText>
      </w:r>
      <w:r>
        <w:rPr>
          <w:rStyle w:val="Hyperlink"/>
          <w:rFonts w:ascii="Gadugi" w:eastAsia="Calibri" w:hAnsi="Gadugi" w:cs="Arial"/>
          <w:b w:val="0"/>
          <w:sz w:val="24"/>
          <w:szCs w:val="24"/>
        </w:rPr>
        <w:fldChar w:fldCharType="separate"/>
      </w:r>
      <w:r w:rsidRPr="00373B75">
        <w:rPr>
          <w:rStyle w:val="Hyperlink"/>
          <w:rFonts w:ascii="Gadugi" w:eastAsia="Calibri" w:hAnsi="Gadugi" w:cs="Arial"/>
          <w:b w:val="0"/>
          <w:sz w:val="24"/>
          <w:szCs w:val="24"/>
        </w:rPr>
        <w:t>https://www.companyfolders.com/blog/best-ways-to-motivate-employees</w:t>
      </w:r>
      <w:r>
        <w:rPr>
          <w:rStyle w:val="Hyperlink"/>
          <w:rFonts w:ascii="Gadugi" w:eastAsia="Calibri" w:hAnsi="Gadugi" w:cs="Arial"/>
          <w:b w:val="0"/>
          <w:sz w:val="24"/>
          <w:szCs w:val="24"/>
        </w:rPr>
        <w:fldChar w:fldCharType="end"/>
      </w:r>
      <w:r w:rsidRPr="00373B75">
        <w:rPr>
          <w:rFonts w:ascii="Gadugi" w:eastAsia="Calibri" w:hAnsi="Gadugi" w:cs="Arial"/>
          <w:b w:val="0"/>
          <w:color w:val="auto"/>
          <w:sz w:val="24"/>
          <w:szCs w:val="24"/>
        </w:rPr>
        <w:t xml:space="preserve"> </w:t>
      </w:r>
    </w:p>
    <w:p w:rsidR="00EC4451" w:rsidRPr="00373B75" w:rsidRDefault="00EC4451" w:rsidP="00EC4451">
      <w:pPr>
        <w:spacing w:after="160" w:line="259" w:lineRule="auto"/>
        <w:rPr>
          <w:rFonts w:ascii="Gadugi" w:eastAsia="Calibri" w:hAnsi="Gadugi" w:cs="Arial"/>
          <w:b w:val="0"/>
          <w:color w:val="auto"/>
          <w:sz w:val="24"/>
          <w:szCs w:val="24"/>
        </w:rPr>
      </w:pPr>
      <w:proofErr w:type="spellStart"/>
      <w:r w:rsidRPr="00373B75">
        <w:rPr>
          <w:rFonts w:ascii="Gadugi" w:eastAsia="Calibri" w:hAnsi="Gadugi" w:cs="Arial"/>
          <w:b w:val="0"/>
          <w:color w:val="auto"/>
          <w:sz w:val="24"/>
          <w:szCs w:val="24"/>
        </w:rPr>
        <w:t>Verma</w:t>
      </w:r>
      <w:proofErr w:type="spellEnd"/>
      <w:r w:rsidRPr="00373B75">
        <w:rPr>
          <w:rFonts w:ascii="Gadugi" w:eastAsia="Calibri" w:hAnsi="Gadugi" w:cs="Arial"/>
          <w:b w:val="0"/>
          <w:color w:val="auto"/>
          <w:sz w:val="24"/>
          <w:szCs w:val="24"/>
        </w:rPr>
        <w:t xml:space="preserve">, R. &amp; </w:t>
      </w:r>
      <w:proofErr w:type="spellStart"/>
      <w:r w:rsidRPr="00373B75">
        <w:rPr>
          <w:rFonts w:ascii="Gadugi" w:eastAsia="Calibri" w:hAnsi="Gadugi" w:cs="Arial"/>
          <w:b w:val="0"/>
          <w:color w:val="auto"/>
          <w:sz w:val="24"/>
          <w:szCs w:val="24"/>
        </w:rPr>
        <w:t>Verma</w:t>
      </w:r>
      <w:proofErr w:type="spellEnd"/>
      <w:r w:rsidRPr="00373B75">
        <w:rPr>
          <w:rFonts w:ascii="Gadugi" w:eastAsia="Calibri" w:hAnsi="Gadugi" w:cs="Arial"/>
          <w:b w:val="0"/>
          <w:color w:val="auto"/>
          <w:sz w:val="24"/>
          <w:szCs w:val="24"/>
        </w:rPr>
        <w:t xml:space="preserve">, J. (2012). The role of motivation as a moderator of the job demand-burnout-performance relationship among service employees in a social marketing campaign. </w:t>
      </w:r>
      <w:r w:rsidRPr="00373B75">
        <w:rPr>
          <w:rFonts w:ascii="Gadugi" w:eastAsia="Calibri" w:hAnsi="Gadugi" w:cs="Arial"/>
          <w:b w:val="0"/>
          <w:i/>
          <w:color w:val="auto"/>
          <w:sz w:val="24"/>
          <w:szCs w:val="24"/>
        </w:rPr>
        <w:t xml:space="preserve">Decision, 39, </w:t>
      </w:r>
      <w:r w:rsidRPr="00373B75">
        <w:rPr>
          <w:rFonts w:ascii="Gadugi" w:eastAsia="Calibri" w:hAnsi="Gadugi" w:cs="Arial"/>
          <w:b w:val="0"/>
          <w:color w:val="auto"/>
          <w:sz w:val="24"/>
          <w:szCs w:val="24"/>
        </w:rPr>
        <w:t xml:space="preserve">68-85. </w:t>
      </w:r>
    </w:p>
    <w:p w:rsidR="00EC4451" w:rsidRPr="004D437B" w:rsidRDefault="00EC4451" w:rsidP="00EC4451">
      <w:pPr>
        <w:spacing w:after="160" w:line="259" w:lineRule="auto"/>
        <w:rPr>
          <w:rFonts w:ascii="Gadugi" w:eastAsia="Calibri" w:hAnsi="Gadugi" w:cs="Arial"/>
          <w:b w:val="0"/>
          <w:color w:val="auto"/>
          <w:sz w:val="24"/>
          <w:szCs w:val="24"/>
        </w:rPr>
      </w:pPr>
    </w:p>
    <w:p w:rsidR="00EC4451" w:rsidRPr="004D437B" w:rsidRDefault="00EC4451" w:rsidP="00EC4451">
      <w:pPr>
        <w:spacing w:after="160" w:line="259" w:lineRule="auto"/>
        <w:rPr>
          <w:rFonts w:ascii="Gadugi" w:eastAsia="Calibri" w:hAnsi="Gadugi" w:cs="Arial"/>
          <w:color w:val="auto"/>
          <w:szCs w:val="28"/>
        </w:rPr>
      </w:pPr>
    </w:p>
    <w:p w:rsidR="00EC4451" w:rsidRPr="004D437B" w:rsidRDefault="00EC4451" w:rsidP="00EC4451">
      <w:pPr>
        <w:spacing w:after="160" w:line="259" w:lineRule="auto"/>
        <w:rPr>
          <w:rFonts w:ascii="Gadugi" w:eastAsia="Calibri" w:hAnsi="Gadugi" w:cs="Arial"/>
          <w:color w:val="auto"/>
          <w:szCs w:val="28"/>
        </w:rPr>
      </w:pPr>
    </w:p>
    <w:p w:rsidR="00EC4451" w:rsidRDefault="00EC4451" w:rsidP="00EC4451">
      <w:pPr>
        <w:spacing w:after="160" w:line="259" w:lineRule="auto"/>
        <w:rPr>
          <w:rFonts w:ascii="Gadugi" w:eastAsia="Calibri" w:hAnsi="Gadugi" w:cs="Arial"/>
          <w:color w:val="auto"/>
          <w:szCs w:val="28"/>
        </w:rPr>
      </w:pPr>
    </w:p>
    <w:p w:rsidR="00EC4451" w:rsidRDefault="00EC4451" w:rsidP="00EC4451">
      <w:pPr>
        <w:spacing w:after="160" w:line="259" w:lineRule="auto"/>
        <w:rPr>
          <w:rFonts w:ascii="Gadugi" w:eastAsia="Calibri" w:hAnsi="Gadugi" w:cs="Arial"/>
          <w:color w:val="auto"/>
          <w:szCs w:val="28"/>
        </w:rPr>
      </w:pPr>
    </w:p>
    <w:p w:rsidR="00EC4451" w:rsidRDefault="00EC4451" w:rsidP="00EC4451">
      <w:pPr>
        <w:spacing w:after="160" w:line="259" w:lineRule="auto"/>
        <w:rPr>
          <w:rFonts w:ascii="Gadugi" w:eastAsia="Calibri" w:hAnsi="Gadugi" w:cs="Arial"/>
          <w:color w:val="auto"/>
          <w:szCs w:val="28"/>
        </w:rPr>
      </w:pPr>
    </w:p>
    <w:p w:rsidR="00EC4451" w:rsidRDefault="00EC4451" w:rsidP="00EC4451">
      <w:pPr>
        <w:spacing w:after="160" w:line="259" w:lineRule="auto"/>
        <w:rPr>
          <w:rFonts w:ascii="Gadugi" w:eastAsia="Calibri" w:hAnsi="Gadugi" w:cs="Arial"/>
          <w:color w:val="auto"/>
          <w:szCs w:val="28"/>
        </w:rPr>
      </w:pPr>
    </w:p>
    <w:p w:rsidR="00EC4451" w:rsidRDefault="00EC4451" w:rsidP="00EC4451">
      <w:pPr>
        <w:spacing w:after="160" w:line="259" w:lineRule="auto"/>
        <w:rPr>
          <w:rFonts w:ascii="Gadugi" w:eastAsia="Calibri" w:hAnsi="Gadugi" w:cs="Arial"/>
          <w:color w:val="auto"/>
          <w:szCs w:val="28"/>
        </w:rPr>
      </w:pPr>
    </w:p>
    <w:p w:rsidR="00EC4451" w:rsidRDefault="00EC4451" w:rsidP="00EC4451">
      <w:pPr>
        <w:spacing w:after="160" w:line="259" w:lineRule="auto"/>
        <w:rPr>
          <w:rFonts w:ascii="Gadugi" w:eastAsia="Calibri" w:hAnsi="Gadugi" w:cs="Arial"/>
          <w:color w:val="auto"/>
          <w:szCs w:val="28"/>
        </w:rPr>
      </w:pPr>
    </w:p>
    <w:p w:rsidR="00EC4451" w:rsidRDefault="00EC4451" w:rsidP="00EC4451">
      <w:pPr>
        <w:spacing w:after="160" w:line="259" w:lineRule="auto"/>
        <w:rPr>
          <w:rFonts w:ascii="Gadugi" w:eastAsia="Calibri" w:hAnsi="Gadugi" w:cs="Arial"/>
          <w:color w:val="auto"/>
          <w:szCs w:val="28"/>
        </w:rPr>
      </w:pPr>
    </w:p>
    <w:p w:rsidR="00EC4451" w:rsidRDefault="00EC4451" w:rsidP="00EC4451">
      <w:pPr>
        <w:spacing w:after="160" w:line="259" w:lineRule="auto"/>
        <w:rPr>
          <w:rFonts w:ascii="Gadugi" w:eastAsia="Calibri" w:hAnsi="Gadugi" w:cs="Arial"/>
          <w:color w:val="auto"/>
          <w:szCs w:val="28"/>
        </w:rPr>
      </w:pPr>
    </w:p>
    <w:p w:rsidR="00EC4451" w:rsidRDefault="00EC4451" w:rsidP="00EC4451">
      <w:pPr>
        <w:spacing w:after="160" w:line="259" w:lineRule="auto"/>
        <w:rPr>
          <w:rFonts w:ascii="Gadugi" w:eastAsia="Calibri" w:hAnsi="Gadugi" w:cs="Arial"/>
          <w:color w:val="auto"/>
          <w:szCs w:val="28"/>
        </w:rPr>
      </w:pPr>
    </w:p>
    <w:p w:rsidR="00EC4451" w:rsidRDefault="00EC4451" w:rsidP="00EC4451">
      <w:pPr>
        <w:spacing w:after="160" w:line="259" w:lineRule="auto"/>
        <w:rPr>
          <w:rFonts w:ascii="Gadugi" w:eastAsia="Calibri" w:hAnsi="Gadugi" w:cs="Arial"/>
          <w:color w:val="auto"/>
          <w:szCs w:val="28"/>
        </w:rPr>
      </w:pPr>
    </w:p>
    <w:p w:rsidR="00EC4451" w:rsidRDefault="00EC4451" w:rsidP="00EC4451">
      <w:pPr>
        <w:rPr>
          <w:rFonts w:ascii="Gadugi" w:hAnsi="Gadugi"/>
          <w:color w:val="auto"/>
        </w:rPr>
      </w:pPr>
    </w:p>
    <w:tbl>
      <w:tblPr>
        <w:tblStyle w:val="TableGrid2"/>
        <w:tblpPr w:leftFromText="180" w:rightFromText="180" w:vertAnchor="page" w:horzAnchor="margin" w:tblpXSpec="center" w:tblpY="766"/>
        <w:tblW w:w="9895" w:type="dxa"/>
        <w:shd w:val="clear" w:color="auto" w:fill="782F40"/>
        <w:tblCellMar>
          <w:left w:w="0" w:type="dxa"/>
          <w:right w:w="0" w:type="dxa"/>
        </w:tblCellMar>
        <w:tblLook w:val="04A0" w:firstRow="1" w:lastRow="0" w:firstColumn="1" w:lastColumn="0" w:noHBand="0" w:noVBand="1"/>
      </w:tblPr>
      <w:tblGrid>
        <w:gridCol w:w="5685"/>
        <w:gridCol w:w="4210"/>
      </w:tblGrid>
      <w:tr w:rsidR="00EC4451" w:rsidRPr="004D437B" w:rsidTr="00EC4451">
        <w:trPr>
          <w:trHeight w:val="2600"/>
        </w:trPr>
        <w:tc>
          <w:tcPr>
            <w:tcW w:w="5685" w:type="dxa"/>
            <w:shd w:val="clear" w:color="auto" w:fill="782F40"/>
            <w:vAlign w:val="center"/>
          </w:tcPr>
          <w:p w:rsidR="00EC4451" w:rsidRPr="004D437B" w:rsidRDefault="00EC4451" w:rsidP="00641C74">
            <w:pPr>
              <w:jc w:val="center"/>
              <w:rPr>
                <w:rFonts w:ascii="Microsoft Sans Serif" w:eastAsia="MS Mincho" w:hAnsi="Microsoft Sans Serif" w:cs="Times New Roman"/>
                <w:noProof/>
                <w:color w:val="000000"/>
                <w:sz w:val="24"/>
              </w:rPr>
            </w:pPr>
            <w:r w:rsidRPr="004D437B">
              <w:rPr>
                <w:rFonts w:ascii="Microsoft Sans Serif" w:eastAsia="MS Mincho" w:hAnsi="Microsoft Sans Serif" w:cs="Times New Roman"/>
                <w:noProof/>
                <w:color w:val="000000"/>
                <w:sz w:val="24"/>
              </w:rPr>
              <w:lastRenderedPageBreak/>
              <mc:AlternateContent>
                <mc:Choice Requires="wps">
                  <w:drawing>
                    <wp:anchor distT="0" distB="0" distL="114300" distR="114300" simplePos="0" relativeHeight="251663360" behindDoc="0" locked="0" layoutInCell="1" allowOverlap="1" wp14:anchorId="3217DE28" wp14:editId="58B261F9">
                      <wp:simplePos x="0" y="0"/>
                      <wp:positionH relativeFrom="column">
                        <wp:posOffset>69215</wp:posOffset>
                      </wp:positionH>
                      <wp:positionV relativeFrom="paragraph">
                        <wp:posOffset>283210</wp:posOffset>
                      </wp:positionV>
                      <wp:extent cx="3581400" cy="193167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1670"/>
                              </a:xfrm>
                              <a:prstGeom prst="rect">
                                <a:avLst/>
                              </a:prstGeom>
                              <a:noFill/>
                              <a:ln w="9525">
                                <a:noFill/>
                                <a:miter lim="800000"/>
                                <a:headEnd/>
                                <a:tailEnd/>
                              </a:ln>
                            </wps:spPr>
                            <wps:txbx>
                              <w:txbxContent>
                                <w:p w:rsidR="00EC4451" w:rsidRPr="004D437B" w:rsidRDefault="00EC4451" w:rsidP="00EC4451">
                                  <w:pPr>
                                    <w:rPr>
                                      <w:rFonts w:ascii="Arial" w:eastAsia="Calibri" w:hAnsi="Arial" w:cs="Arial"/>
                                      <w:color w:val="FFFFFF" w:themeColor="background1"/>
                                      <w:szCs w:val="28"/>
                                    </w:rPr>
                                  </w:pPr>
                                  <w:r>
                                    <w:rPr>
                                      <w:rFonts w:ascii="Arial" w:eastAsia="Calibri" w:hAnsi="Arial" w:cs="Arial"/>
                                      <w:color w:val="FFFFFF" w:themeColor="background1"/>
                                      <w:sz w:val="40"/>
                                      <w:szCs w:val="40"/>
                                    </w:rPr>
                                    <w:t>New Trauma and Resilience Research</w:t>
                                  </w:r>
                                </w:p>
                                <w:p w:rsidR="00EC4451" w:rsidRPr="002C5D45" w:rsidRDefault="00EC4451" w:rsidP="00EC4451">
                                  <w:pPr>
                                    <w:rPr>
                                      <w:color w:val="FFFFFF"/>
                                    </w:rPr>
                                  </w:pPr>
                                </w:p>
                              </w:txbxContent>
                            </wps:txbx>
                            <wps:bodyPr rot="0" vert="horz" wrap="square" lIns="18288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217DE28" id="_x0000_s1027" type="#_x0000_t202" style="position:absolute;left:0;text-align:left;margin-left:5.45pt;margin-top:22.3pt;width:282pt;height:15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" filled="f" stroked="f">
                      <v:textbox style="mso-fit-shape-to-text:t" inset="14.4pt">
                        <w:txbxContent>
                          <w:p w:rsidR="00EC4451" w:rsidRPr="004D437B" w:rsidRDefault="00EC4451" w:rsidP="00EC4451">
                            <w:pPr>
                              <w:rPr>
                                <w:rFonts w:ascii="Arial" w:eastAsia="Calibri" w:hAnsi="Arial" w:cs="Arial"/>
                                <w:color w:val="FFFFFF" w:themeColor="background1"/>
                                <w:szCs w:val="28"/>
                              </w:rPr>
                            </w:pPr>
                            <w:r>
                              <w:rPr>
                                <w:rFonts w:ascii="Arial" w:eastAsia="Calibri" w:hAnsi="Arial" w:cs="Arial"/>
                                <w:color w:val="FFFFFF" w:themeColor="background1"/>
                                <w:sz w:val="40"/>
                                <w:szCs w:val="40"/>
                              </w:rPr>
                              <w:t>New Trauma and Resilience Research</w:t>
                            </w:r>
                          </w:p>
                          <w:p w:rsidR="00EC4451" w:rsidRPr="002C5D45" w:rsidRDefault="00EC4451" w:rsidP="00EC4451">
                            <w:pPr>
                              <w:rPr>
                                <w:color w:val="FFFFFF"/>
                              </w:rPr>
                            </w:pPr>
                          </w:p>
                        </w:txbxContent>
                      </v:textbox>
                    </v:shape>
                  </w:pict>
                </mc:Fallback>
              </mc:AlternateContent>
            </w:r>
          </w:p>
        </w:tc>
        <w:tc>
          <w:tcPr>
            <w:tcW w:w="4210" w:type="dxa"/>
            <w:shd w:val="clear" w:color="auto" w:fill="782F40"/>
          </w:tcPr>
          <w:p w:rsidR="00EC4451" w:rsidRPr="004D437B" w:rsidRDefault="00EC4451" w:rsidP="00641C74">
            <w:pPr>
              <w:tabs>
                <w:tab w:val="left" w:pos="3905"/>
              </w:tabs>
              <w:rPr>
                <w:rFonts w:ascii="Microsoft Sans Serif" w:eastAsia="MS Mincho" w:hAnsi="Microsoft Sans Serif" w:cs="Times New Roman"/>
                <w:color w:val="000000"/>
                <w:sz w:val="24"/>
              </w:rPr>
            </w:pPr>
            <w:r w:rsidRPr="004D437B">
              <w:rPr>
                <w:rFonts w:ascii="Microsoft Sans Serif" w:eastAsia="MS Mincho" w:hAnsi="Microsoft Sans Serif" w:cs="Times New Roman"/>
                <w:noProof/>
                <w:color w:val="000000"/>
                <w:sz w:val="24"/>
              </w:rPr>
              <w:drawing>
                <wp:inline distT="0" distB="0" distL="0" distR="0" wp14:anchorId="4E656533" wp14:editId="22E823E8">
                  <wp:extent cx="2657475" cy="17740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79239" cy="1788561"/>
                          </a:xfrm>
                          <a:prstGeom prst="rect">
                            <a:avLst/>
                          </a:prstGeom>
                          <a:noFill/>
                        </pic:spPr>
                      </pic:pic>
                    </a:graphicData>
                  </a:graphic>
                </wp:inline>
              </w:drawing>
            </w:r>
          </w:p>
        </w:tc>
      </w:tr>
    </w:tbl>
    <w:p w:rsidR="00EC4451" w:rsidRDefault="00EC4451" w:rsidP="00EC4451">
      <w:pPr>
        <w:rPr>
          <w:rFonts w:ascii="Gadugi" w:hAnsi="Gadugi"/>
          <w:color w:val="auto"/>
        </w:rPr>
        <w:sectPr w:rsidR="00EC4451" w:rsidSect="00EC4451">
          <w:pgSz w:w="12240" w:h="15840"/>
          <w:pgMar w:top="720" w:right="1152" w:bottom="720" w:left="1152" w:header="0" w:footer="288" w:gutter="0"/>
          <w:pgBorders w:offsetFrom="page">
            <w:top w:val="single" w:sz="2" w:space="24" w:color="782F40"/>
            <w:left w:val="single" w:sz="2" w:space="24" w:color="782F40"/>
            <w:bottom w:val="single" w:sz="2" w:space="24" w:color="782F40"/>
            <w:right w:val="single" w:sz="2" w:space="24" w:color="782F40"/>
          </w:pgBorders>
          <w:pgNumType w:start="1"/>
          <w:cols w:num="2" w:space="720"/>
          <w:titlePg/>
          <w:docGrid w:linePitch="382"/>
        </w:sectPr>
      </w:pPr>
    </w:p>
    <w:p w:rsidR="00EC4451" w:rsidRPr="00601DBF" w:rsidRDefault="00EC4451" w:rsidP="00EC4451">
      <w:pPr>
        <w:rPr>
          <w:rFonts w:ascii="Gadugi" w:hAnsi="Gadugi"/>
          <w:color w:val="auto"/>
          <w:sz w:val="24"/>
          <w:szCs w:val="24"/>
        </w:rPr>
      </w:pPr>
      <w:proofErr w:type="spellStart"/>
      <w:r w:rsidRPr="00601DBF">
        <w:rPr>
          <w:rFonts w:ascii="Gadugi" w:hAnsi="Gadugi"/>
          <w:color w:val="auto"/>
          <w:sz w:val="24"/>
          <w:szCs w:val="24"/>
        </w:rPr>
        <w:t>Ungar</w:t>
      </w:r>
      <w:proofErr w:type="spellEnd"/>
      <w:r w:rsidRPr="00601DBF">
        <w:rPr>
          <w:rFonts w:ascii="Gadugi" w:hAnsi="Gadugi"/>
          <w:color w:val="auto"/>
          <w:sz w:val="24"/>
          <w:szCs w:val="24"/>
        </w:rPr>
        <w:t xml:space="preserve">, M. (2016). Varied patterns of family resilience in challenging contexts. </w:t>
      </w:r>
      <w:r>
        <w:rPr>
          <w:rFonts w:ascii="Gadugi" w:hAnsi="Gadugi"/>
          <w:i/>
          <w:color w:val="auto"/>
          <w:sz w:val="24"/>
          <w:szCs w:val="24"/>
        </w:rPr>
        <w:t>Journal o</w:t>
      </w:r>
      <w:r w:rsidRPr="00601DBF">
        <w:rPr>
          <w:rFonts w:ascii="Gadugi" w:hAnsi="Gadugi"/>
          <w:i/>
          <w:color w:val="auto"/>
          <w:sz w:val="24"/>
          <w:szCs w:val="24"/>
        </w:rPr>
        <w:t>f Marital &amp; Family Therapy, 42</w:t>
      </w:r>
      <w:r w:rsidRPr="00601DBF">
        <w:rPr>
          <w:rFonts w:ascii="Gadugi" w:hAnsi="Gadugi"/>
          <w:color w:val="auto"/>
          <w:sz w:val="24"/>
          <w:szCs w:val="24"/>
        </w:rPr>
        <w:t>(1), 19-31.</w:t>
      </w:r>
    </w:p>
    <w:p w:rsidR="00EC4451" w:rsidRPr="00601DBF" w:rsidRDefault="00EC4451" w:rsidP="00EC4451">
      <w:pPr>
        <w:rPr>
          <w:rFonts w:ascii="Gadugi" w:hAnsi="Gadugi"/>
          <w:b w:val="0"/>
          <w:color w:val="auto"/>
          <w:sz w:val="24"/>
          <w:szCs w:val="24"/>
        </w:rPr>
      </w:pPr>
      <w:hyperlink r:id="rId8" w:history="1">
        <w:r w:rsidRPr="00601DBF">
          <w:rPr>
            <w:rStyle w:val="Hyperlink"/>
            <w:rFonts w:ascii="Gadugi" w:hAnsi="Gadugi"/>
            <w:sz w:val="24"/>
            <w:szCs w:val="24"/>
          </w:rPr>
          <w:t>http://eds.b.ebscohost.com/eds/pdfviewer/pdfviewer?vid=1&amp;sid=7ef57b40-a18d-4529-8c26-9cb2b1685ffb%40sessionmgr101</w:t>
        </w:r>
      </w:hyperlink>
    </w:p>
    <w:p w:rsidR="00EC4451" w:rsidRPr="00601DBF" w:rsidRDefault="00EC4451" w:rsidP="00EC4451">
      <w:pPr>
        <w:rPr>
          <w:rFonts w:ascii="Gadugi" w:hAnsi="Gadugi"/>
          <w:b w:val="0"/>
          <w:color w:val="auto"/>
          <w:sz w:val="24"/>
          <w:szCs w:val="24"/>
        </w:rPr>
      </w:pPr>
    </w:p>
    <w:p w:rsidR="00EC4451" w:rsidRPr="00601DBF" w:rsidRDefault="00EC4451" w:rsidP="00EC4451">
      <w:pPr>
        <w:rPr>
          <w:rFonts w:ascii="Gadugi" w:hAnsi="Gadugi"/>
          <w:b w:val="0"/>
          <w:color w:val="auto"/>
          <w:sz w:val="24"/>
          <w:szCs w:val="24"/>
        </w:rPr>
      </w:pPr>
      <w:r w:rsidRPr="00601DBF">
        <w:rPr>
          <w:rFonts w:ascii="Gadugi" w:hAnsi="Gadugi"/>
          <w:b w:val="0"/>
          <w:color w:val="auto"/>
          <w:sz w:val="24"/>
          <w:szCs w:val="24"/>
        </w:rPr>
        <w:t xml:space="preserve">“While we know much about patterns of family resilience, most of our research and clinical discussion has focused on microsystemic, </w:t>
      </w:r>
      <w:proofErr w:type="spellStart"/>
      <w:r w:rsidRPr="00601DBF">
        <w:rPr>
          <w:rFonts w:ascii="Gadugi" w:hAnsi="Gadugi"/>
          <w:b w:val="0"/>
          <w:color w:val="auto"/>
          <w:sz w:val="24"/>
          <w:szCs w:val="24"/>
        </w:rPr>
        <w:t>intrafamilial</w:t>
      </w:r>
      <w:proofErr w:type="spellEnd"/>
      <w:r w:rsidRPr="00601DBF">
        <w:rPr>
          <w:rFonts w:ascii="Gadugi" w:hAnsi="Gadugi"/>
          <w:b w:val="0"/>
          <w:color w:val="auto"/>
          <w:sz w:val="24"/>
          <w:szCs w:val="24"/>
        </w:rPr>
        <w:t xml:space="preserve"> protective processes. We have far fewer maps of the bidirectional interactions between families and other systems that contribute to successful family adaptation in challenging contexts. The purpose of this article is to address this gap in knowledge and present a map of family resilience that is both systemic and contextually and culturally responsive. </w:t>
      </w:r>
      <w:r w:rsidRPr="00DD6C26">
        <w:rPr>
          <w:rFonts w:ascii="Gadugi" w:hAnsi="Gadugi"/>
          <w:b w:val="0"/>
          <w:color w:val="auto"/>
          <w:sz w:val="24"/>
          <w:szCs w:val="24"/>
          <w:highlight w:val="yellow"/>
        </w:rPr>
        <w:t xml:space="preserve">Seven specific patterns of family resilience are reviewed: (1. </w:t>
      </w:r>
      <w:proofErr w:type="spellStart"/>
      <w:r w:rsidRPr="00DD6C26">
        <w:rPr>
          <w:rFonts w:ascii="Gadugi" w:hAnsi="Gadugi"/>
          <w:b w:val="0"/>
          <w:color w:val="auto"/>
          <w:sz w:val="24"/>
          <w:szCs w:val="24"/>
          <w:highlight w:val="yellow"/>
        </w:rPr>
        <w:t>Postraumatic</w:t>
      </w:r>
      <w:proofErr w:type="spellEnd"/>
      <w:r w:rsidRPr="00DD6C26">
        <w:rPr>
          <w:rFonts w:ascii="Gadugi" w:hAnsi="Gadugi"/>
          <w:b w:val="0"/>
          <w:color w:val="auto"/>
          <w:sz w:val="24"/>
          <w:szCs w:val="24"/>
          <w:highlight w:val="yellow"/>
        </w:rPr>
        <w:t xml:space="preserve"> Growth; 2. Minimal Impact</w:t>
      </w:r>
      <w:r>
        <w:rPr>
          <w:rFonts w:ascii="Gadugi" w:hAnsi="Gadugi"/>
          <w:b w:val="0"/>
          <w:color w:val="auto"/>
          <w:sz w:val="24"/>
          <w:szCs w:val="24"/>
          <w:highlight w:val="yellow"/>
        </w:rPr>
        <w:t xml:space="preserve"> Resilience</w:t>
      </w:r>
      <w:r w:rsidRPr="00DD6C26">
        <w:rPr>
          <w:rFonts w:ascii="Gadugi" w:hAnsi="Gadugi"/>
          <w:b w:val="0"/>
          <w:color w:val="auto"/>
          <w:sz w:val="24"/>
          <w:szCs w:val="24"/>
          <w:highlight w:val="yellow"/>
        </w:rPr>
        <w:t>; 3. Unaffected; 4. Recovery; 5. Avoidant; 6. Hidden</w:t>
      </w:r>
      <w:r>
        <w:rPr>
          <w:rFonts w:ascii="Gadugi" w:hAnsi="Gadugi"/>
          <w:b w:val="0"/>
          <w:color w:val="auto"/>
          <w:sz w:val="24"/>
          <w:szCs w:val="24"/>
          <w:highlight w:val="yellow"/>
        </w:rPr>
        <w:t xml:space="preserve"> Resilience</w:t>
      </w:r>
      <w:r w:rsidRPr="00DD6C26">
        <w:rPr>
          <w:rFonts w:ascii="Gadugi" w:hAnsi="Gadugi"/>
          <w:b w:val="0"/>
          <w:color w:val="auto"/>
          <w:sz w:val="24"/>
          <w:szCs w:val="24"/>
          <w:highlight w:val="yellow"/>
        </w:rPr>
        <w:t>; 7. Maladaptive</w:t>
      </w:r>
      <w:r>
        <w:rPr>
          <w:rFonts w:ascii="Gadugi" w:hAnsi="Gadugi"/>
          <w:b w:val="0"/>
          <w:color w:val="auto"/>
          <w:sz w:val="24"/>
          <w:szCs w:val="24"/>
          <w:highlight w:val="yellow"/>
        </w:rPr>
        <w:t xml:space="preserve"> Coping</w:t>
      </w:r>
      <w:r w:rsidRPr="00DD6C26">
        <w:rPr>
          <w:rFonts w:ascii="Gadugi" w:hAnsi="Gadugi"/>
          <w:b w:val="0"/>
          <w:color w:val="auto"/>
          <w:sz w:val="24"/>
          <w:szCs w:val="24"/>
          <w:highlight w:val="yellow"/>
        </w:rPr>
        <w:t>).</w:t>
      </w:r>
      <w:r>
        <w:rPr>
          <w:rFonts w:ascii="Gadugi" w:hAnsi="Gadugi"/>
          <w:b w:val="0"/>
          <w:color w:val="auto"/>
          <w:sz w:val="24"/>
          <w:szCs w:val="24"/>
        </w:rPr>
        <w:t xml:space="preserve"> </w:t>
      </w:r>
      <w:r w:rsidRPr="00601DBF">
        <w:rPr>
          <w:rFonts w:ascii="Gadugi" w:hAnsi="Gadugi"/>
          <w:b w:val="0"/>
          <w:color w:val="auto"/>
          <w:sz w:val="24"/>
          <w:szCs w:val="24"/>
        </w:rPr>
        <w:t xml:space="preserve">Combined, they account for the varied </w:t>
      </w:r>
      <w:proofErr w:type="spellStart"/>
      <w:r w:rsidRPr="00601DBF">
        <w:rPr>
          <w:rFonts w:ascii="Gadugi" w:hAnsi="Gadugi"/>
          <w:b w:val="0"/>
          <w:color w:val="auto"/>
          <w:sz w:val="24"/>
          <w:szCs w:val="24"/>
        </w:rPr>
        <w:t>adaptational</w:t>
      </w:r>
      <w:proofErr w:type="spellEnd"/>
      <w:r w:rsidRPr="00601DBF">
        <w:rPr>
          <w:rFonts w:ascii="Gadugi" w:hAnsi="Gadugi"/>
          <w:b w:val="0"/>
          <w:color w:val="auto"/>
          <w:sz w:val="24"/>
          <w:szCs w:val="24"/>
        </w:rPr>
        <w:t xml:space="preserve"> patterns families use to nurture and sustain resilience. The article concludes with reflection on how we can assess family resilience and the application of this map to family therapy.” [ABSTRACT FROM AUTHOR]</w:t>
      </w:r>
    </w:p>
    <w:p w:rsidR="00EC4451" w:rsidRDefault="00EC4451" w:rsidP="00EC4451">
      <w:pPr>
        <w:rPr>
          <w:rFonts w:ascii="Gadugi" w:hAnsi="Gadugi"/>
          <w:b w:val="0"/>
          <w:color w:val="auto"/>
          <w:sz w:val="24"/>
          <w:szCs w:val="24"/>
        </w:rPr>
      </w:pPr>
    </w:p>
    <w:p w:rsidR="00EC4451" w:rsidRPr="00601DBF" w:rsidRDefault="00EC4451" w:rsidP="00EC4451">
      <w:pPr>
        <w:rPr>
          <w:rFonts w:ascii="Gadugi" w:hAnsi="Gadugi"/>
          <w:color w:val="auto"/>
          <w:sz w:val="24"/>
          <w:szCs w:val="24"/>
        </w:rPr>
      </w:pPr>
      <w:proofErr w:type="spellStart"/>
      <w:r w:rsidRPr="00601DBF">
        <w:rPr>
          <w:rFonts w:ascii="Gadugi" w:hAnsi="Gadugi"/>
          <w:color w:val="auto"/>
          <w:sz w:val="24"/>
          <w:szCs w:val="24"/>
        </w:rPr>
        <w:t>Lietz</w:t>
      </w:r>
      <w:proofErr w:type="spellEnd"/>
      <w:r w:rsidRPr="00601DBF">
        <w:rPr>
          <w:rFonts w:ascii="Gadugi" w:hAnsi="Gadugi"/>
          <w:color w:val="auto"/>
          <w:sz w:val="24"/>
          <w:szCs w:val="24"/>
        </w:rPr>
        <w:t xml:space="preserve">, C. A., Julien-Chinn, F. J., Geiger, J. M., &amp; Hayes </w:t>
      </w:r>
      <w:proofErr w:type="spellStart"/>
      <w:r w:rsidRPr="00601DBF">
        <w:rPr>
          <w:rFonts w:ascii="Gadugi" w:hAnsi="Gadugi"/>
          <w:color w:val="auto"/>
          <w:sz w:val="24"/>
          <w:szCs w:val="24"/>
        </w:rPr>
        <w:t>Piel</w:t>
      </w:r>
      <w:proofErr w:type="spellEnd"/>
      <w:r w:rsidRPr="00601DBF">
        <w:rPr>
          <w:rFonts w:ascii="Gadugi" w:hAnsi="Gadugi"/>
          <w:color w:val="auto"/>
          <w:sz w:val="24"/>
          <w:szCs w:val="24"/>
        </w:rPr>
        <w:t xml:space="preserve">, M. (2016). Cultivating resilience in families who </w:t>
      </w:r>
      <w:proofErr w:type="gramStart"/>
      <w:r w:rsidRPr="00601DBF">
        <w:rPr>
          <w:rFonts w:ascii="Gadugi" w:hAnsi="Gadugi"/>
          <w:color w:val="auto"/>
          <w:sz w:val="24"/>
          <w:szCs w:val="24"/>
        </w:rPr>
        <w:t>foster: Understanding</w:t>
      </w:r>
      <w:proofErr w:type="gramEnd"/>
      <w:r w:rsidRPr="00601DBF">
        <w:rPr>
          <w:rFonts w:ascii="Gadugi" w:hAnsi="Gadugi"/>
          <w:color w:val="auto"/>
          <w:sz w:val="24"/>
          <w:szCs w:val="24"/>
        </w:rPr>
        <w:t xml:space="preserve"> how families cope and adapt over time. </w:t>
      </w:r>
      <w:r w:rsidRPr="00601DBF">
        <w:rPr>
          <w:rFonts w:ascii="Gadugi" w:hAnsi="Gadugi"/>
          <w:i/>
          <w:color w:val="auto"/>
          <w:sz w:val="24"/>
          <w:szCs w:val="24"/>
        </w:rPr>
        <w:t>Family Process, 55</w:t>
      </w:r>
      <w:r w:rsidRPr="00601DBF">
        <w:rPr>
          <w:rFonts w:ascii="Gadugi" w:hAnsi="Gadugi"/>
          <w:color w:val="auto"/>
          <w:sz w:val="24"/>
          <w:szCs w:val="24"/>
        </w:rPr>
        <w:t>(4), 660-672. doi:10.1111/famp.12239</w:t>
      </w:r>
    </w:p>
    <w:p w:rsidR="00EC4451" w:rsidRPr="00601DBF" w:rsidRDefault="00EC4451" w:rsidP="00EC4451">
      <w:pPr>
        <w:rPr>
          <w:rFonts w:ascii="Gadugi" w:hAnsi="Gadugi"/>
          <w:b w:val="0"/>
          <w:color w:val="auto"/>
          <w:sz w:val="24"/>
          <w:szCs w:val="24"/>
        </w:rPr>
      </w:pPr>
    </w:p>
    <w:p w:rsidR="00EC4451" w:rsidRPr="00601DBF" w:rsidRDefault="00EC4451" w:rsidP="00EC4451">
      <w:pPr>
        <w:rPr>
          <w:rFonts w:ascii="Gadugi" w:hAnsi="Gadugi"/>
          <w:color w:val="auto"/>
        </w:rPr>
      </w:pPr>
      <w:r w:rsidRPr="00601DBF">
        <w:rPr>
          <w:rFonts w:ascii="Gadugi" w:hAnsi="Gadugi"/>
          <w:b w:val="0"/>
          <w:color w:val="auto"/>
          <w:sz w:val="24"/>
          <w:szCs w:val="24"/>
        </w:rPr>
        <w:t xml:space="preserve">“Families who foster offer essential care for children and youth when their own parents are unable to provide for their safety and well-being. Foster caregivers face many challenges including increased workload, emotional distress, and the difficulties associated with health and mental health problems that are more common in children in foster care. Despite these stressors, many families are able to sustain fostering while maintaining or enhancing functioning of their unit. This qualitative study applied an </w:t>
      </w:r>
      <w:proofErr w:type="spellStart"/>
      <w:r w:rsidRPr="00601DBF">
        <w:rPr>
          <w:rFonts w:ascii="Gadugi" w:hAnsi="Gadugi"/>
          <w:b w:val="0"/>
          <w:color w:val="auto"/>
          <w:sz w:val="24"/>
          <w:szCs w:val="24"/>
        </w:rPr>
        <w:t>adaptational</w:t>
      </w:r>
      <w:proofErr w:type="spellEnd"/>
      <w:r w:rsidRPr="00601DBF">
        <w:rPr>
          <w:rFonts w:ascii="Gadugi" w:hAnsi="Gadugi"/>
          <w:b w:val="0"/>
          <w:color w:val="auto"/>
          <w:sz w:val="24"/>
          <w:szCs w:val="24"/>
        </w:rPr>
        <w:t xml:space="preserve"> process model of family resilience that emerged in previous studies to examine narratives of persistent, long-term, and multiple fostering experiences. Data corroborated previous research in two ways. </w:t>
      </w:r>
      <w:r w:rsidRPr="00AE7303">
        <w:rPr>
          <w:rFonts w:ascii="Gadugi" w:hAnsi="Gadugi"/>
          <w:b w:val="0"/>
          <w:color w:val="auto"/>
          <w:sz w:val="24"/>
          <w:szCs w:val="24"/>
          <w:highlight w:val="yellow"/>
        </w:rPr>
        <w:t xml:space="preserve">Family resilience </w:t>
      </w:r>
      <w:proofErr w:type="gramStart"/>
      <w:r w:rsidRPr="00AE7303">
        <w:rPr>
          <w:rFonts w:ascii="Gadugi" w:hAnsi="Gadugi"/>
          <w:b w:val="0"/>
          <w:color w:val="auto"/>
          <w:sz w:val="24"/>
          <w:szCs w:val="24"/>
          <w:highlight w:val="yellow"/>
        </w:rPr>
        <w:t>was again described</w:t>
      </w:r>
      <w:proofErr w:type="gramEnd"/>
      <w:r w:rsidRPr="00AE7303">
        <w:rPr>
          <w:rFonts w:ascii="Gadugi" w:hAnsi="Gadugi"/>
          <w:b w:val="0"/>
          <w:color w:val="auto"/>
          <w:sz w:val="24"/>
          <w:szCs w:val="24"/>
          <w:highlight w:val="yellow"/>
        </w:rPr>
        <w:t xml:space="preserve"> as a transactional process of coping and </w:t>
      </w:r>
      <w:r w:rsidRPr="00AE7303">
        <w:rPr>
          <w:rFonts w:ascii="Gadugi" w:hAnsi="Gadugi"/>
          <w:b w:val="0"/>
          <w:color w:val="auto"/>
          <w:sz w:val="24"/>
          <w:szCs w:val="24"/>
          <w:highlight w:val="yellow"/>
        </w:rPr>
        <w:lastRenderedPageBreak/>
        <w:t>adaptation that evolves over time</w:t>
      </w:r>
      <w:r w:rsidRPr="00601DBF">
        <w:rPr>
          <w:rFonts w:ascii="Gadugi" w:hAnsi="Gadugi"/>
          <w:b w:val="0"/>
          <w:color w:val="auto"/>
          <w:sz w:val="24"/>
          <w:szCs w:val="24"/>
        </w:rPr>
        <w:t>. This process was cultivated through the activation of 10 family strengths that are important in different ways, during varied phases.” [ABSTRACT FROM AUTHOR]</w:t>
      </w:r>
    </w:p>
    <w:p w:rsidR="00EC4451" w:rsidRDefault="00EC4451" w:rsidP="00EC4451">
      <w:pPr>
        <w:jc w:val="center"/>
        <w:rPr>
          <w:rFonts w:ascii="Gadugi" w:hAnsi="Gadugi"/>
          <w:color w:val="auto"/>
        </w:rPr>
      </w:pPr>
    </w:p>
    <w:p w:rsidR="00EC4451" w:rsidRDefault="00EC4451" w:rsidP="00EC4451">
      <w:pPr>
        <w:rPr>
          <w:rFonts w:ascii="Gadugi" w:hAnsi="Gadugi"/>
          <w:color w:val="auto"/>
          <w:sz w:val="24"/>
          <w:szCs w:val="24"/>
        </w:rPr>
      </w:pPr>
      <w:r w:rsidRPr="00601DBF">
        <w:rPr>
          <w:rFonts w:ascii="Gadugi" w:hAnsi="Gadugi"/>
          <w:color w:val="auto"/>
          <w:sz w:val="24"/>
          <w:szCs w:val="24"/>
        </w:rPr>
        <w:t xml:space="preserve">Clarkson Freeman, P. A. (2014). Prevalence and relationship between adverse childhood experiences and child behavior among young children. </w:t>
      </w:r>
      <w:r w:rsidRPr="00601DBF">
        <w:rPr>
          <w:rFonts w:ascii="Gadugi" w:hAnsi="Gadugi"/>
          <w:i/>
          <w:color w:val="auto"/>
          <w:sz w:val="24"/>
          <w:szCs w:val="24"/>
        </w:rPr>
        <w:t>Infant Mental Health Journal, 35</w:t>
      </w:r>
      <w:r w:rsidRPr="00601DBF">
        <w:rPr>
          <w:rFonts w:ascii="Gadugi" w:hAnsi="Gadugi"/>
          <w:color w:val="auto"/>
          <w:sz w:val="24"/>
          <w:szCs w:val="24"/>
        </w:rPr>
        <w:t>(6), 544-554. doi:10.1002/imhj.21460</w:t>
      </w:r>
    </w:p>
    <w:p w:rsidR="00EC4451" w:rsidRPr="00601DBF" w:rsidRDefault="00EC4451" w:rsidP="00EC4451">
      <w:pPr>
        <w:rPr>
          <w:rFonts w:ascii="Gadugi" w:hAnsi="Gadugi"/>
          <w:color w:val="auto"/>
          <w:sz w:val="24"/>
          <w:szCs w:val="24"/>
        </w:rPr>
      </w:pPr>
    </w:p>
    <w:p w:rsidR="00EC4451" w:rsidRPr="00284029" w:rsidRDefault="00EC4451" w:rsidP="00EC4451">
      <w:pPr>
        <w:rPr>
          <w:rFonts w:ascii="Gadugi" w:hAnsi="Gadugi"/>
          <w:b w:val="0"/>
          <w:color w:val="auto"/>
          <w:sz w:val="24"/>
          <w:szCs w:val="24"/>
        </w:rPr>
      </w:pPr>
      <w:r w:rsidRPr="00284029">
        <w:rPr>
          <w:rFonts w:ascii="Gadugi" w:hAnsi="Gadugi"/>
          <w:b w:val="0"/>
          <w:color w:val="auto"/>
          <w:sz w:val="24"/>
          <w:szCs w:val="24"/>
        </w:rPr>
        <w:t xml:space="preserve">“Exposure to adverse childhood experiences (ACEs) such as child abuse and neglect impact a child's socioemotional development. </w:t>
      </w:r>
      <w:proofErr w:type="gramStart"/>
      <w:r w:rsidRPr="00284029">
        <w:rPr>
          <w:rFonts w:ascii="Gadugi" w:hAnsi="Gadugi"/>
          <w:b w:val="0"/>
          <w:color w:val="auto"/>
          <w:sz w:val="24"/>
          <w:szCs w:val="24"/>
        </w:rPr>
        <w:t xml:space="preserve">Drawing from the methods employed in the Adverse Childhood Experiences (ACE; </w:t>
      </w:r>
      <w:proofErr w:type="spellStart"/>
      <w:r w:rsidRPr="00284029">
        <w:rPr>
          <w:rFonts w:ascii="Gadugi" w:hAnsi="Gadugi"/>
          <w:b w:val="0"/>
          <w:color w:val="auto"/>
          <w:sz w:val="24"/>
          <w:szCs w:val="24"/>
        </w:rPr>
        <w:t>Felitti</w:t>
      </w:r>
      <w:proofErr w:type="spellEnd"/>
      <w:r w:rsidRPr="00284029">
        <w:rPr>
          <w:rFonts w:ascii="Gadugi" w:hAnsi="Gadugi"/>
          <w:b w:val="0"/>
          <w:color w:val="auto"/>
          <w:sz w:val="24"/>
          <w:szCs w:val="24"/>
        </w:rPr>
        <w:t xml:space="preserve"> et al., ) Study, the present study utilized data from the National Survey of Child and Adolescent Well-Being to examine the prevalence of ACEs among children birth to 6 years, and the relationship of ACEs to emotional and behavioral outcomes 59 to 97 months after the close of investigation or assessment.</w:t>
      </w:r>
      <w:proofErr w:type="gramEnd"/>
      <w:r w:rsidRPr="00284029">
        <w:rPr>
          <w:rFonts w:ascii="Gadugi" w:hAnsi="Gadugi"/>
          <w:b w:val="0"/>
          <w:color w:val="auto"/>
          <w:sz w:val="24"/>
          <w:szCs w:val="24"/>
        </w:rPr>
        <w:t xml:space="preserve"> Logistic regression also </w:t>
      </w:r>
      <w:proofErr w:type="gramStart"/>
      <w:r w:rsidRPr="00284029">
        <w:rPr>
          <w:rFonts w:ascii="Gadugi" w:hAnsi="Gadugi"/>
          <w:b w:val="0"/>
          <w:color w:val="auto"/>
          <w:sz w:val="24"/>
          <w:szCs w:val="24"/>
        </w:rPr>
        <w:t>was used</w:t>
      </w:r>
      <w:proofErr w:type="gramEnd"/>
      <w:r w:rsidRPr="00284029">
        <w:rPr>
          <w:rFonts w:ascii="Gadugi" w:hAnsi="Gadugi"/>
          <w:b w:val="0"/>
          <w:color w:val="auto"/>
          <w:sz w:val="24"/>
          <w:szCs w:val="24"/>
        </w:rPr>
        <w:t xml:space="preserve"> to examine the cumulative impact of ACEs on child behavior outcomes. </w:t>
      </w:r>
      <w:r w:rsidRPr="00AE7303">
        <w:rPr>
          <w:rFonts w:ascii="Gadugi" w:hAnsi="Gadugi"/>
          <w:b w:val="0"/>
          <w:color w:val="auto"/>
          <w:sz w:val="24"/>
          <w:szCs w:val="24"/>
          <w:highlight w:val="yellow"/>
        </w:rPr>
        <w:t xml:space="preserve">By the age of </w:t>
      </w:r>
      <w:proofErr w:type="gramStart"/>
      <w:r w:rsidRPr="00AE7303">
        <w:rPr>
          <w:rFonts w:ascii="Gadugi" w:hAnsi="Gadugi"/>
          <w:b w:val="0"/>
          <w:color w:val="auto"/>
          <w:sz w:val="24"/>
          <w:szCs w:val="24"/>
          <w:highlight w:val="yellow"/>
        </w:rPr>
        <w:t>6</w:t>
      </w:r>
      <w:proofErr w:type="gramEnd"/>
      <w:r w:rsidRPr="00AE7303">
        <w:rPr>
          <w:rFonts w:ascii="Gadugi" w:hAnsi="Gadugi"/>
          <w:b w:val="0"/>
          <w:color w:val="auto"/>
          <w:sz w:val="24"/>
          <w:szCs w:val="24"/>
          <w:highlight w:val="yellow"/>
        </w:rPr>
        <w:t>, approximately 70% of children experienced three or more ACEs, and there were strong relationships between ACEs. Numerous ACEs were associated with long-term behavioral problems, and results supported a dose-response effect. Three or greater ACEs more than quadrupled the risk of experiencing internalizing problems</w:t>
      </w:r>
      <w:r w:rsidRPr="00284029">
        <w:rPr>
          <w:rFonts w:ascii="Gadugi" w:hAnsi="Gadugi"/>
          <w:b w:val="0"/>
          <w:color w:val="auto"/>
          <w:sz w:val="24"/>
          <w:szCs w:val="24"/>
        </w:rPr>
        <w:t xml:space="preserve">, and almost quadrupled the risk of experiencing either externalizing or total problems at 59 </w:t>
      </w:r>
      <w:r w:rsidRPr="00284029">
        <w:rPr>
          <w:rFonts w:ascii="Gadugi" w:hAnsi="Gadugi"/>
          <w:b w:val="0"/>
          <w:color w:val="auto"/>
          <w:sz w:val="24"/>
          <w:szCs w:val="24"/>
        </w:rPr>
        <w:t>to 97 months' post-investigation. Based on these findings, it is crucial for both early screening/assessment and increased collaboration between child welfare and early intervention programs.” [ABSTRACT FROM AUTHOR]</w:t>
      </w:r>
    </w:p>
    <w:p w:rsidR="00EC4451" w:rsidRDefault="00EC4451" w:rsidP="00EC4451">
      <w:pPr>
        <w:rPr>
          <w:rFonts w:ascii="Gadugi" w:hAnsi="Gadugi"/>
          <w:b w:val="0"/>
          <w:color w:val="auto"/>
          <w:sz w:val="24"/>
          <w:szCs w:val="24"/>
        </w:rPr>
      </w:pPr>
    </w:p>
    <w:p w:rsidR="00EC4451" w:rsidRPr="00284029" w:rsidRDefault="00EC4451" w:rsidP="00EC4451">
      <w:pPr>
        <w:rPr>
          <w:rFonts w:ascii="Gadugi" w:hAnsi="Gadugi"/>
          <w:color w:val="auto"/>
          <w:sz w:val="24"/>
          <w:szCs w:val="24"/>
        </w:rPr>
      </w:pPr>
      <w:r w:rsidRPr="00284029">
        <w:rPr>
          <w:rFonts w:ascii="Gadugi" w:hAnsi="Gadugi"/>
          <w:color w:val="auto"/>
          <w:sz w:val="24"/>
          <w:szCs w:val="24"/>
        </w:rPr>
        <w:t xml:space="preserve">Grasso, D. d., </w:t>
      </w:r>
      <w:proofErr w:type="spellStart"/>
      <w:r w:rsidRPr="00284029">
        <w:rPr>
          <w:rFonts w:ascii="Gadugi" w:hAnsi="Gadugi"/>
          <w:color w:val="auto"/>
          <w:sz w:val="24"/>
          <w:szCs w:val="24"/>
        </w:rPr>
        <w:t>Dierkhising</w:t>
      </w:r>
      <w:proofErr w:type="spellEnd"/>
      <w:r w:rsidRPr="00284029">
        <w:rPr>
          <w:rFonts w:ascii="Gadugi" w:hAnsi="Gadugi"/>
          <w:color w:val="auto"/>
          <w:sz w:val="24"/>
          <w:szCs w:val="24"/>
        </w:rPr>
        <w:t xml:space="preserve">, C., Branson, C., Ford, J., Lee, R., Grasso, D. J., &amp; ... Ford, J. D. (2016). Developmental patterns of adverse childhood experiences and current symptoms and impairment in youth referred for trauma-specific services. </w:t>
      </w:r>
      <w:r w:rsidRPr="00284029">
        <w:rPr>
          <w:rFonts w:ascii="Gadugi" w:hAnsi="Gadugi"/>
          <w:i/>
          <w:color w:val="auto"/>
          <w:sz w:val="24"/>
          <w:szCs w:val="24"/>
        </w:rPr>
        <w:t xml:space="preserve">Journal </w:t>
      </w:r>
      <w:proofErr w:type="gramStart"/>
      <w:r w:rsidRPr="00284029">
        <w:rPr>
          <w:rFonts w:ascii="Gadugi" w:hAnsi="Gadugi"/>
          <w:i/>
          <w:color w:val="auto"/>
          <w:sz w:val="24"/>
          <w:szCs w:val="24"/>
        </w:rPr>
        <w:t>Of</w:t>
      </w:r>
      <w:proofErr w:type="gramEnd"/>
      <w:r w:rsidRPr="00284029">
        <w:rPr>
          <w:rFonts w:ascii="Gadugi" w:hAnsi="Gadugi"/>
          <w:i/>
          <w:color w:val="auto"/>
          <w:sz w:val="24"/>
          <w:szCs w:val="24"/>
        </w:rPr>
        <w:t xml:space="preserve"> Abnormal Child Psychology, 44</w:t>
      </w:r>
      <w:r w:rsidRPr="00284029">
        <w:rPr>
          <w:rFonts w:ascii="Gadugi" w:hAnsi="Gadugi"/>
          <w:color w:val="auto"/>
          <w:sz w:val="24"/>
          <w:szCs w:val="24"/>
        </w:rPr>
        <w:t>(5), 871-886.</w:t>
      </w:r>
    </w:p>
    <w:p w:rsidR="00EC4451" w:rsidRPr="00284029" w:rsidRDefault="00EC4451" w:rsidP="00EC4451">
      <w:pPr>
        <w:rPr>
          <w:rFonts w:ascii="Gadugi" w:hAnsi="Gadugi"/>
          <w:b w:val="0"/>
          <w:color w:val="auto"/>
          <w:sz w:val="24"/>
          <w:szCs w:val="24"/>
        </w:rPr>
      </w:pPr>
    </w:p>
    <w:p w:rsidR="00EC4451" w:rsidRPr="00284029" w:rsidRDefault="00EC4451" w:rsidP="00EC4451">
      <w:pPr>
        <w:rPr>
          <w:rFonts w:ascii="Gadugi" w:hAnsi="Gadugi"/>
          <w:b w:val="0"/>
          <w:color w:val="auto"/>
          <w:sz w:val="24"/>
          <w:szCs w:val="24"/>
        </w:rPr>
      </w:pPr>
      <w:r w:rsidRPr="00284029">
        <w:rPr>
          <w:rFonts w:ascii="Gadugi" w:hAnsi="Gadugi"/>
          <w:b w:val="0"/>
          <w:color w:val="auto"/>
          <w:sz w:val="24"/>
          <w:szCs w:val="24"/>
        </w:rPr>
        <w:t xml:space="preserve">“By the time children reach adolescence, most have experienced at least one type of severe adversity and many have been exposed to multiple types. However, whether patterns of adverse childhood experiences are consistent or change across developmental epochs in childhood </w:t>
      </w:r>
      <w:proofErr w:type="gramStart"/>
      <w:r w:rsidRPr="00284029">
        <w:rPr>
          <w:rFonts w:ascii="Gadugi" w:hAnsi="Gadugi"/>
          <w:b w:val="0"/>
          <w:color w:val="auto"/>
          <w:sz w:val="24"/>
          <w:szCs w:val="24"/>
        </w:rPr>
        <w:t>is not known</w:t>
      </w:r>
      <w:proofErr w:type="gramEnd"/>
      <w:r w:rsidRPr="00284029">
        <w:rPr>
          <w:rFonts w:ascii="Gadugi" w:hAnsi="Gadugi"/>
          <w:b w:val="0"/>
          <w:color w:val="auto"/>
          <w:sz w:val="24"/>
          <w:szCs w:val="24"/>
        </w:rPr>
        <w:t xml:space="preserve">. Retrospective reports of adverse potentially traumatic childhood experiences in </w:t>
      </w:r>
      <w:proofErr w:type="gramStart"/>
      <w:r w:rsidRPr="00284029">
        <w:rPr>
          <w:rFonts w:ascii="Gadugi" w:hAnsi="Gadugi"/>
          <w:b w:val="0"/>
          <w:color w:val="auto"/>
          <w:sz w:val="24"/>
          <w:szCs w:val="24"/>
        </w:rPr>
        <w:t>3</w:t>
      </w:r>
      <w:proofErr w:type="gramEnd"/>
      <w:r w:rsidRPr="00284029">
        <w:rPr>
          <w:rFonts w:ascii="Gadugi" w:hAnsi="Gadugi"/>
          <w:b w:val="0"/>
          <w:color w:val="auto"/>
          <w:sz w:val="24"/>
          <w:szCs w:val="24"/>
        </w:rPr>
        <w:t xml:space="preserve"> distinct developmental epochs (early childhood, 0- to 5-years-old; middle childhood, 6- to 12-years-old; and adolescence, 13- to 18-years-old) were obtained from adolescents (N</w:t>
      </w:r>
      <w:r w:rsidRPr="00284029">
        <w:rPr>
          <w:rFonts w:ascii="Arial" w:hAnsi="Arial" w:cs="Arial"/>
          <w:b w:val="0"/>
          <w:color w:val="auto"/>
          <w:sz w:val="24"/>
          <w:szCs w:val="24"/>
        </w:rPr>
        <w:t> </w:t>
      </w:r>
      <w:r w:rsidRPr="00284029">
        <w:rPr>
          <w:rFonts w:ascii="Gadugi" w:hAnsi="Gadugi"/>
          <w:b w:val="0"/>
          <w:color w:val="auto"/>
          <w:sz w:val="24"/>
          <w:szCs w:val="24"/>
        </w:rPr>
        <w:t>=</w:t>
      </w:r>
      <w:r w:rsidRPr="00284029">
        <w:rPr>
          <w:rFonts w:ascii="Arial" w:hAnsi="Arial" w:cs="Arial"/>
          <w:b w:val="0"/>
          <w:color w:val="auto"/>
          <w:sz w:val="24"/>
          <w:szCs w:val="24"/>
        </w:rPr>
        <w:t> </w:t>
      </w:r>
      <w:r w:rsidRPr="00284029">
        <w:rPr>
          <w:rFonts w:ascii="Gadugi" w:hAnsi="Gadugi"/>
          <w:b w:val="0"/>
          <w:color w:val="auto"/>
          <w:sz w:val="24"/>
          <w:szCs w:val="24"/>
        </w:rPr>
        <w:t xml:space="preserve">3485) referred to providers in the National Child Traumatic Stress Network (NCTSN) for trauma-focused assessment and treatment. Results from latent class analysis (LCA) revealed increasingly complex patterns of adverse/traumatic experiences in middle childhood and adolescence compared to early childhood. Depending upon the </w:t>
      </w:r>
      <w:r w:rsidRPr="00284029">
        <w:rPr>
          <w:rFonts w:ascii="Gadugi" w:hAnsi="Gadugi"/>
          <w:b w:val="0"/>
          <w:color w:val="auto"/>
          <w:sz w:val="24"/>
          <w:szCs w:val="24"/>
        </w:rPr>
        <w:lastRenderedPageBreak/>
        <w:t xml:space="preserve">specific developmental epoch assessed, different patterns of adverse/traumatic experiences were associated with gender and with adolescent psychopathology (e.g., </w:t>
      </w:r>
      <w:r w:rsidRPr="002824CE">
        <w:rPr>
          <w:rFonts w:ascii="Gadugi" w:hAnsi="Gadugi"/>
          <w:b w:val="0"/>
          <w:color w:val="auto"/>
          <w:sz w:val="24"/>
          <w:szCs w:val="24"/>
          <w:highlight w:val="yellow"/>
        </w:rPr>
        <w:t>internalizing/externalizing behavior problems), and juvenile justice involvement</w:t>
      </w:r>
      <w:r w:rsidRPr="00284029">
        <w:rPr>
          <w:rFonts w:ascii="Gadugi" w:hAnsi="Gadugi"/>
          <w:b w:val="0"/>
          <w:color w:val="auto"/>
          <w:sz w:val="24"/>
          <w:szCs w:val="24"/>
        </w:rPr>
        <w:t>. A multiply exposed subgroup that had severe problems in adolescence was evident in each of the 3 epochs, but their specific types of adverse/traumatic experiences differed depending upon the developmental epoch. Implications for research and clinical practice are identified.” [ABSTRACT FROM AUTHOR]</w:t>
      </w:r>
    </w:p>
    <w:p w:rsidR="00EC4451" w:rsidRDefault="00EC4451" w:rsidP="00EC4451">
      <w:pPr>
        <w:rPr>
          <w:rFonts w:ascii="Gadugi" w:hAnsi="Gadugi"/>
          <w:b w:val="0"/>
          <w:color w:val="auto"/>
          <w:sz w:val="24"/>
          <w:szCs w:val="24"/>
        </w:rPr>
      </w:pPr>
    </w:p>
    <w:p w:rsidR="00EC4451" w:rsidRPr="00284029" w:rsidRDefault="00EC4451" w:rsidP="00EC4451">
      <w:pPr>
        <w:rPr>
          <w:rFonts w:ascii="Gadugi" w:hAnsi="Gadugi"/>
          <w:color w:val="auto"/>
          <w:sz w:val="24"/>
          <w:szCs w:val="24"/>
        </w:rPr>
      </w:pPr>
      <w:proofErr w:type="spellStart"/>
      <w:r w:rsidRPr="00284029">
        <w:rPr>
          <w:rFonts w:ascii="Gadugi" w:hAnsi="Gadugi"/>
          <w:color w:val="auto"/>
          <w:sz w:val="24"/>
          <w:szCs w:val="24"/>
        </w:rPr>
        <w:t>Solemanpour</w:t>
      </w:r>
      <w:proofErr w:type="spellEnd"/>
      <w:r w:rsidRPr="00284029">
        <w:rPr>
          <w:rFonts w:ascii="Gadugi" w:hAnsi="Gadugi"/>
          <w:color w:val="auto"/>
          <w:sz w:val="24"/>
          <w:szCs w:val="24"/>
        </w:rPr>
        <w:t xml:space="preserve">, S., </w:t>
      </w:r>
      <w:proofErr w:type="spellStart"/>
      <w:r w:rsidRPr="00284029">
        <w:rPr>
          <w:rFonts w:ascii="Gadugi" w:hAnsi="Gadugi"/>
          <w:color w:val="auto"/>
          <w:sz w:val="24"/>
          <w:szCs w:val="24"/>
        </w:rPr>
        <w:t>Geierstanger</w:t>
      </w:r>
      <w:proofErr w:type="spellEnd"/>
      <w:r w:rsidRPr="00284029">
        <w:rPr>
          <w:rFonts w:ascii="Gadugi" w:hAnsi="Gadugi"/>
          <w:color w:val="auto"/>
          <w:sz w:val="24"/>
          <w:szCs w:val="24"/>
        </w:rPr>
        <w:t xml:space="preserve">, S., &amp; </w:t>
      </w:r>
      <w:proofErr w:type="spellStart"/>
      <w:r w:rsidRPr="00284029">
        <w:rPr>
          <w:rFonts w:ascii="Gadugi" w:hAnsi="Gadugi"/>
          <w:color w:val="auto"/>
          <w:sz w:val="24"/>
          <w:szCs w:val="24"/>
        </w:rPr>
        <w:t>Brindis</w:t>
      </w:r>
      <w:proofErr w:type="spellEnd"/>
      <w:r w:rsidRPr="00284029">
        <w:rPr>
          <w:rFonts w:ascii="Gadugi" w:hAnsi="Gadugi"/>
          <w:color w:val="auto"/>
          <w:sz w:val="24"/>
          <w:szCs w:val="24"/>
        </w:rPr>
        <w:t xml:space="preserve">, C. (2017). Adverse childhood experiences and resilience: Addressing the unique needs of adolescents. </w:t>
      </w:r>
      <w:r w:rsidRPr="00284029">
        <w:rPr>
          <w:rFonts w:ascii="Gadugi" w:hAnsi="Gadugi"/>
          <w:i/>
          <w:iCs/>
          <w:color w:val="auto"/>
          <w:sz w:val="24"/>
          <w:szCs w:val="24"/>
        </w:rPr>
        <w:t>Academic Pediatrics</w:t>
      </w:r>
      <w:proofErr w:type="gramStart"/>
      <w:r w:rsidRPr="00284029">
        <w:rPr>
          <w:rFonts w:ascii="Gadugi" w:hAnsi="Gadugi"/>
          <w:i/>
          <w:iCs/>
          <w:color w:val="auto"/>
          <w:sz w:val="24"/>
          <w:szCs w:val="24"/>
        </w:rPr>
        <w:t>,17</w:t>
      </w:r>
      <w:proofErr w:type="gramEnd"/>
      <w:r w:rsidRPr="00284029">
        <w:rPr>
          <w:rFonts w:ascii="Gadugi" w:hAnsi="Gadugi"/>
          <w:color w:val="auto"/>
          <w:sz w:val="24"/>
          <w:szCs w:val="24"/>
        </w:rPr>
        <w:t xml:space="preserve">(7), 108-114. </w:t>
      </w:r>
      <w:proofErr w:type="spellStart"/>
      <w:r w:rsidRPr="00284029">
        <w:rPr>
          <w:rFonts w:ascii="Gadugi" w:hAnsi="Gadugi"/>
          <w:color w:val="auto"/>
          <w:sz w:val="24"/>
          <w:szCs w:val="24"/>
        </w:rPr>
        <w:t>Doi</w:t>
      </w:r>
      <w:proofErr w:type="spellEnd"/>
      <w:r w:rsidRPr="00284029">
        <w:rPr>
          <w:rFonts w:ascii="Gadugi" w:hAnsi="Gadugi"/>
          <w:color w:val="auto"/>
          <w:sz w:val="24"/>
          <w:szCs w:val="24"/>
        </w:rPr>
        <w:t>: https://doi.org/10.1016/j.acap.2017.01.008</w:t>
      </w:r>
    </w:p>
    <w:p w:rsidR="00EC4451" w:rsidRPr="00601DBF" w:rsidRDefault="00EC4451" w:rsidP="00EC4451">
      <w:pPr>
        <w:rPr>
          <w:rFonts w:ascii="Gadugi" w:hAnsi="Gadugi"/>
          <w:b w:val="0"/>
          <w:color w:val="auto"/>
          <w:sz w:val="24"/>
          <w:szCs w:val="24"/>
        </w:rPr>
      </w:pPr>
      <w:r w:rsidRPr="00284029">
        <w:rPr>
          <w:rFonts w:ascii="Gadugi" w:hAnsi="Gadugi"/>
          <w:b w:val="0"/>
          <w:color w:val="auto"/>
          <w:sz w:val="24"/>
          <w:szCs w:val="24"/>
        </w:rPr>
        <w:br/>
        <w:t xml:space="preserve">Adolescents exposed to </w:t>
      </w:r>
      <w:r w:rsidRPr="00284029">
        <w:rPr>
          <w:rFonts w:ascii="Gadugi" w:hAnsi="Gadugi"/>
          <w:bCs/>
          <w:color w:val="auto"/>
          <w:sz w:val="24"/>
          <w:szCs w:val="24"/>
        </w:rPr>
        <w:t>adverse</w:t>
      </w:r>
      <w:r w:rsidRPr="00284029">
        <w:rPr>
          <w:rFonts w:ascii="Gadugi" w:hAnsi="Gadugi"/>
          <w:b w:val="0"/>
          <w:color w:val="auto"/>
          <w:sz w:val="24"/>
          <w:szCs w:val="24"/>
        </w:rPr>
        <w:t xml:space="preserve"> </w:t>
      </w:r>
      <w:r w:rsidRPr="00284029">
        <w:rPr>
          <w:rFonts w:ascii="Gadugi" w:hAnsi="Gadugi"/>
          <w:bCs/>
          <w:color w:val="auto"/>
          <w:sz w:val="24"/>
          <w:szCs w:val="24"/>
        </w:rPr>
        <w:t>childhood</w:t>
      </w:r>
      <w:r w:rsidRPr="00284029">
        <w:rPr>
          <w:rFonts w:ascii="Gadugi" w:hAnsi="Gadugi"/>
          <w:b w:val="0"/>
          <w:color w:val="auto"/>
          <w:sz w:val="24"/>
          <w:szCs w:val="24"/>
        </w:rPr>
        <w:t xml:space="preserve"> </w:t>
      </w:r>
      <w:r w:rsidRPr="00284029">
        <w:rPr>
          <w:rFonts w:ascii="Gadugi" w:hAnsi="Gadugi"/>
          <w:bCs/>
          <w:color w:val="auto"/>
          <w:sz w:val="24"/>
          <w:szCs w:val="24"/>
        </w:rPr>
        <w:t>experiences</w:t>
      </w:r>
      <w:r w:rsidRPr="00284029">
        <w:rPr>
          <w:rFonts w:ascii="Gadugi" w:hAnsi="Gadugi"/>
          <w:b w:val="0"/>
          <w:color w:val="auto"/>
          <w:sz w:val="24"/>
          <w:szCs w:val="24"/>
        </w:rPr>
        <w:t xml:space="preserve"> (ACEs) have unique developmental needs that </w:t>
      </w:r>
      <w:proofErr w:type="gramStart"/>
      <w:r w:rsidRPr="00284029">
        <w:rPr>
          <w:rFonts w:ascii="Gadugi" w:hAnsi="Gadugi"/>
          <w:b w:val="0"/>
          <w:color w:val="auto"/>
          <w:sz w:val="24"/>
          <w:szCs w:val="24"/>
        </w:rPr>
        <w:t>must be addressed</w:t>
      </w:r>
      <w:proofErr w:type="gramEnd"/>
      <w:r w:rsidRPr="00284029">
        <w:rPr>
          <w:rFonts w:ascii="Gadugi" w:hAnsi="Gadugi"/>
          <w:b w:val="0"/>
          <w:color w:val="auto"/>
          <w:sz w:val="24"/>
          <w:szCs w:val="24"/>
        </w:rPr>
        <w:t xml:space="preserve"> by the health, education, and social welfare systems that serve them. </w:t>
      </w:r>
      <w:r w:rsidRPr="0051046E">
        <w:rPr>
          <w:rFonts w:ascii="Gadugi" w:hAnsi="Gadugi"/>
          <w:b w:val="0"/>
          <w:color w:val="auto"/>
          <w:sz w:val="24"/>
          <w:szCs w:val="24"/>
          <w:highlight w:val="yellow"/>
        </w:rPr>
        <w:t>Nationwide, over half of adolescents have reportedly been exposed to ACEs. This exposure can have detrimental effects, including increased risk for learning and behavioral issues and suicidal ideation</w:t>
      </w:r>
      <w:r w:rsidRPr="00284029">
        <w:rPr>
          <w:rFonts w:ascii="Gadugi" w:hAnsi="Gadugi"/>
          <w:b w:val="0"/>
          <w:color w:val="auto"/>
          <w:sz w:val="24"/>
          <w:szCs w:val="24"/>
        </w:rPr>
        <w:t xml:space="preserve">. In response, clinical and community systems need to carefully plan and coordinate services to support adolescents who </w:t>
      </w:r>
      <w:proofErr w:type="gramStart"/>
      <w:r w:rsidRPr="00284029">
        <w:rPr>
          <w:rFonts w:ascii="Gadugi" w:hAnsi="Gadugi"/>
          <w:b w:val="0"/>
          <w:color w:val="auto"/>
          <w:sz w:val="24"/>
          <w:szCs w:val="24"/>
        </w:rPr>
        <w:t>have been exposed</w:t>
      </w:r>
      <w:proofErr w:type="gramEnd"/>
      <w:r w:rsidRPr="00284029">
        <w:rPr>
          <w:rFonts w:ascii="Gadugi" w:hAnsi="Gadugi"/>
          <w:b w:val="0"/>
          <w:color w:val="auto"/>
          <w:sz w:val="24"/>
          <w:szCs w:val="24"/>
        </w:rPr>
        <w:t xml:space="preserve"> to ACEs, with a particular focus on special populations. We discuss how adolescents' needs can be met, </w:t>
      </w:r>
      <w:r w:rsidRPr="00284029">
        <w:rPr>
          <w:rFonts w:ascii="Gadugi" w:hAnsi="Gadugi"/>
          <w:b w:val="0"/>
          <w:color w:val="auto"/>
          <w:sz w:val="24"/>
          <w:szCs w:val="24"/>
        </w:rPr>
        <w:t>including considering confidentiality concerns and emerging independence; tailoring and testing screening tools for specific use with adolescents; identifying effective multipronged and cross-system trauma-informed interventions; and advocating for improved policies. [ABSTRACT FROM AUTHOR]</w:t>
      </w:r>
    </w:p>
    <w:p w:rsidR="00EC4451" w:rsidRDefault="00EC4451" w:rsidP="00EC4451">
      <w:pPr>
        <w:jc w:val="center"/>
        <w:rPr>
          <w:rFonts w:ascii="Gadugi" w:hAnsi="Gadugi"/>
          <w:color w:val="auto"/>
        </w:rPr>
      </w:pPr>
    </w:p>
    <w:p w:rsidR="00EC4451" w:rsidRDefault="00EC4451" w:rsidP="00EC4451">
      <w:pPr>
        <w:jc w:val="center"/>
        <w:rPr>
          <w:rFonts w:ascii="Gadugi" w:hAnsi="Gadugi"/>
          <w:color w:val="auto"/>
        </w:rPr>
      </w:pPr>
    </w:p>
    <w:p w:rsidR="00EC4451" w:rsidRDefault="00EC4451" w:rsidP="00EC4451">
      <w:pPr>
        <w:jc w:val="center"/>
        <w:rPr>
          <w:rFonts w:ascii="Gadugi" w:hAnsi="Gadugi"/>
          <w:color w:val="auto"/>
        </w:rPr>
      </w:pPr>
    </w:p>
    <w:p w:rsidR="00EC4451" w:rsidRDefault="00EC4451" w:rsidP="00EC4451">
      <w:pPr>
        <w:jc w:val="center"/>
        <w:rPr>
          <w:rFonts w:ascii="Gadugi" w:hAnsi="Gadugi"/>
          <w:color w:val="auto"/>
        </w:rPr>
      </w:pPr>
    </w:p>
    <w:p w:rsidR="00EC4451" w:rsidRDefault="00EC4451" w:rsidP="00EC4451">
      <w:pPr>
        <w:jc w:val="center"/>
        <w:rPr>
          <w:rFonts w:ascii="Gadugi" w:hAnsi="Gadugi"/>
          <w:color w:val="auto"/>
        </w:rPr>
      </w:pPr>
    </w:p>
    <w:p w:rsidR="00EC4451" w:rsidRDefault="00EC4451" w:rsidP="00EC4451">
      <w:pPr>
        <w:jc w:val="center"/>
        <w:rPr>
          <w:rFonts w:ascii="Gadugi" w:hAnsi="Gadugi"/>
          <w:color w:val="auto"/>
        </w:rPr>
      </w:pPr>
    </w:p>
    <w:p w:rsidR="00EC4451" w:rsidRDefault="00EC4451" w:rsidP="00EC4451">
      <w:pPr>
        <w:jc w:val="center"/>
        <w:rPr>
          <w:rFonts w:ascii="Gadugi" w:hAnsi="Gadugi"/>
          <w:color w:val="auto"/>
        </w:rPr>
      </w:pPr>
    </w:p>
    <w:p w:rsidR="00EC4451" w:rsidRDefault="00EC4451" w:rsidP="00EC4451">
      <w:pPr>
        <w:jc w:val="center"/>
        <w:rPr>
          <w:rFonts w:ascii="Gadugi" w:hAnsi="Gadugi"/>
          <w:color w:val="auto"/>
        </w:rPr>
      </w:pPr>
    </w:p>
    <w:p w:rsidR="00EC4451" w:rsidRDefault="00EC4451" w:rsidP="00EC4451">
      <w:pPr>
        <w:jc w:val="center"/>
        <w:rPr>
          <w:rFonts w:ascii="Gadugi" w:hAnsi="Gadugi"/>
          <w:color w:val="auto"/>
        </w:rPr>
      </w:pPr>
    </w:p>
    <w:p w:rsidR="00EC4451" w:rsidRDefault="00EC4451" w:rsidP="00EC4451">
      <w:pPr>
        <w:jc w:val="center"/>
        <w:rPr>
          <w:rFonts w:ascii="Gadugi" w:hAnsi="Gadugi"/>
          <w:color w:val="auto"/>
        </w:rPr>
      </w:pPr>
    </w:p>
    <w:p w:rsidR="00EC4451" w:rsidRDefault="00EC4451" w:rsidP="00EC4451">
      <w:pPr>
        <w:jc w:val="center"/>
        <w:rPr>
          <w:rFonts w:ascii="Gadugi" w:hAnsi="Gadugi"/>
          <w:color w:val="auto"/>
        </w:rPr>
      </w:pPr>
    </w:p>
    <w:p w:rsidR="00EC4451" w:rsidRDefault="00EC4451" w:rsidP="00EC4451">
      <w:pPr>
        <w:jc w:val="center"/>
        <w:rPr>
          <w:rFonts w:ascii="Gadugi" w:hAnsi="Gadugi"/>
          <w:color w:val="auto"/>
        </w:rPr>
      </w:pPr>
    </w:p>
    <w:p w:rsidR="00EC4451" w:rsidRDefault="00EC4451" w:rsidP="00EC4451">
      <w:pPr>
        <w:jc w:val="center"/>
        <w:rPr>
          <w:rFonts w:ascii="Gadugi" w:hAnsi="Gadugi"/>
          <w:color w:val="auto"/>
        </w:rPr>
      </w:pPr>
    </w:p>
    <w:p w:rsidR="00EC4451" w:rsidRDefault="00EC4451" w:rsidP="00EC4451">
      <w:pPr>
        <w:jc w:val="center"/>
        <w:rPr>
          <w:rFonts w:ascii="Gadugi" w:hAnsi="Gadugi"/>
          <w:color w:val="auto"/>
        </w:rPr>
      </w:pPr>
    </w:p>
    <w:p w:rsidR="00EC4451" w:rsidRDefault="00EC4451" w:rsidP="00EC4451">
      <w:pPr>
        <w:jc w:val="center"/>
        <w:rPr>
          <w:rFonts w:ascii="Gadugi" w:hAnsi="Gadugi"/>
          <w:color w:val="auto"/>
        </w:rPr>
      </w:pPr>
    </w:p>
    <w:p w:rsidR="00EC4451" w:rsidRDefault="00EC4451" w:rsidP="00EC4451">
      <w:pPr>
        <w:jc w:val="center"/>
        <w:rPr>
          <w:rFonts w:ascii="Gadugi" w:hAnsi="Gadugi"/>
          <w:color w:val="auto"/>
        </w:rPr>
      </w:pPr>
    </w:p>
    <w:p w:rsidR="00EC4451" w:rsidRDefault="00EC4451" w:rsidP="00EC4451">
      <w:pPr>
        <w:spacing w:after="200"/>
        <w:rPr>
          <w:rFonts w:ascii="Gadugi" w:hAnsi="Gadugi"/>
          <w:color w:val="auto"/>
        </w:rPr>
      </w:pPr>
      <w:r>
        <w:rPr>
          <w:rFonts w:ascii="Gadugi" w:hAnsi="Gadugi"/>
          <w:color w:val="auto"/>
        </w:rPr>
        <w:br w:type="page"/>
      </w:r>
    </w:p>
    <w:tbl>
      <w:tblPr>
        <w:tblStyle w:val="TableGrid2"/>
        <w:tblpPr w:leftFromText="180" w:rightFromText="180" w:vertAnchor="page" w:horzAnchor="margin" w:tblpXSpec="center" w:tblpY="766"/>
        <w:tblW w:w="9895" w:type="dxa"/>
        <w:shd w:val="clear" w:color="auto" w:fill="782F40"/>
        <w:tblCellMar>
          <w:left w:w="0" w:type="dxa"/>
          <w:right w:w="0" w:type="dxa"/>
        </w:tblCellMar>
        <w:tblLook w:val="04A0" w:firstRow="1" w:lastRow="0" w:firstColumn="1" w:lastColumn="0" w:noHBand="0" w:noVBand="1"/>
      </w:tblPr>
      <w:tblGrid>
        <w:gridCol w:w="5685"/>
        <w:gridCol w:w="4210"/>
      </w:tblGrid>
      <w:tr w:rsidR="00EC4451" w:rsidRPr="004D437B" w:rsidTr="00EC4451">
        <w:trPr>
          <w:trHeight w:val="2600"/>
        </w:trPr>
        <w:tc>
          <w:tcPr>
            <w:tcW w:w="5685" w:type="dxa"/>
            <w:shd w:val="clear" w:color="auto" w:fill="782F40"/>
            <w:vAlign w:val="center"/>
          </w:tcPr>
          <w:p w:rsidR="00EC4451" w:rsidRPr="004D437B" w:rsidRDefault="00EC4451" w:rsidP="00641C74">
            <w:pPr>
              <w:jc w:val="center"/>
              <w:rPr>
                <w:rFonts w:ascii="Microsoft Sans Serif" w:eastAsia="MS Mincho" w:hAnsi="Microsoft Sans Serif" w:cs="Times New Roman"/>
                <w:noProof/>
                <w:color w:val="000000"/>
                <w:sz w:val="24"/>
              </w:rPr>
            </w:pPr>
            <w:r w:rsidRPr="004D437B">
              <w:rPr>
                <w:rFonts w:ascii="Microsoft Sans Serif" w:eastAsia="MS Mincho" w:hAnsi="Microsoft Sans Serif" w:cs="Times New Roman"/>
                <w:noProof/>
                <w:color w:val="000000"/>
                <w:sz w:val="24"/>
              </w:rPr>
              <w:lastRenderedPageBreak/>
              <mc:AlternateContent>
                <mc:Choice Requires="wps">
                  <w:drawing>
                    <wp:anchor distT="0" distB="0" distL="114300" distR="114300" simplePos="0" relativeHeight="251664384" behindDoc="0" locked="0" layoutInCell="1" allowOverlap="1" wp14:anchorId="3EB62E9C" wp14:editId="6E26DA68">
                      <wp:simplePos x="0" y="0"/>
                      <wp:positionH relativeFrom="column">
                        <wp:posOffset>69215</wp:posOffset>
                      </wp:positionH>
                      <wp:positionV relativeFrom="paragraph">
                        <wp:posOffset>283210</wp:posOffset>
                      </wp:positionV>
                      <wp:extent cx="3581400" cy="19316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1670"/>
                              </a:xfrm>
                              <a:prstGeom prst="rect">
                                <a:avLst/>
                              </a:prstGeom>
                              <a:noFill/>
                              <a:ln w="9525">
                                <a:noFill/>
                                <a:miter lim="800000"/>
                                <a:headEnd/>
                                <a:tailEnd/>
                              </a:ln>
                            </wps:spPr>
                            <wps:txbx>
                              <w:txbxContent>
                                <w:p w:rsidR="00EC4451" w:rsidRPr="004D437B" w:rsidRDefault="00EC4451" w:rsidP="00EC4451">
                                  <w:pPr>
                                    <w:rPr>
                                      <w:rFonts w:ascii="Arial" w:eastAsia="Calibri" w:hAnsi="Arial" w:cs="Arial"/>
                                      <w:color w:val="FFFFFF" w:themeColor="background1"/>
                                      <w:szCs w:val="28"/>
                                    </w:rPr>
                                  </w:pPr>
                                  <w:r>
                                    <w:rPr>
                                      <w:rFonts w:ascii="Arial" w:eastAsia="Calibri" w:hAnsi="Arial" w:cs="Arial"/>
                                      <w:color w:val="FFFFFF" w:themeColor="background1"/>
                                      <w:sz w:val="40"/>
                                      <w:szCs w:val="40"/>
                                    </w:rPr>
                                    <w:t>More Materials on Trauma</w:t>
                                  </w:r>
                                </w:p>
                                <w:p w:rsidR="00EC4451" w:rsidRPr="002C5D45" w:rsidRDefault="00EC4451" w:rsidP="00EC4451">
                                  <w:pPr>
                                    <w:rPr>
                                      <w:color w:val="FFFFFF"/>
                                    </w:rPr>
                                  </w:pPr>
                                </w:p>
                              </w:txbxContent>
                            </wps:txbx>
                            <wps:bodyPr rot="0" vert="horz" wrap="square" lIns="18288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EB62E9C" id="_x0000_s1028" type="#_x0000_t202" style="position:absolute;left:0;text-align:left;margin-left:5.45pt;margin-top:22.3pt;width:282pt;height:15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" filled="f" stroked="f">
                      <v:textbox style="mso-fit-shape-to-text:t" inset="14.4pt">
                        <w:txbxContent>
                          <w:p w:rsidR="00EC4451" w:rsidRPr="004D437B" w:rsidRDefault="00EC4451" w:rsidP="00EC4451">
                            <w:pPr>
                              <w:rPr>
                                <w:rFonts w:ascii="Arial" w:eastAsia="Calibri" w:hAnsi="Arial" w:cs="Arial"/>
                                <w:color w:val="FFFFFF" w:themeColor="background1"/>
                                <w:szCs w:val="28"/>
                              </w:rPr>
                            </w:pPr>
                            <w:r>
                              <w:rPr>
                                <w:rFonts w:ascii="Arial" w:eastAsia="Calibri" w:hAnsi="Arial" w:cs="Arial"/>
                                <w:color w:val="FFFFFF" w:themeColor="background1"/>
                                <w:sz w:val="40"/>
                                <w:szCs w:val="40"/>
                              </w:rPr>
                              <w:t>More Materials on Trauma</w:t>
                            </w:r>
                          </w:p>
                          <w:p w:rsidR="00EC4451" w:rsidRPr="002C5D45" w:rsidRDefault="00EC4451" w:rsidP="00EC4451">
                            <w:pPr>
                              <w:rPr>
                                <w:color w:val="FFFFFF"/>
                              </w:rPr>
                            </w:pPr>
                          </w:p>
                        </w:txbxContent>
                      </v:textbox>
                    </v:shape>
                  </w:pict>
                </mc:Fallback>
              </mc:AlternateContent>
            </w:r>
          </w:p>
        </w:tc>
        <w:tc>
          <w:tcPr>
            <w:tcW w:w="4210" w:type="dxa"/>
            <w:shd w:val="clear" w:color="auto" w:fill="782F40"/>
          </w:tcPr>
          <w:p w:rsidR="00EC4451" w:rsidRPr="004D437B" w:rsidRDefault="00EC4451" w:rsidP="00641C74">
            <w:pPr>
              <w:tabs>
                <w:tab w:val="left" w:pos="3905"/>
              </w:tabs>
              <w:rPr>
                <w:rFonts w:ascii="Microsoft Sans Serif" w:eastAsia="MS Mincho" w:hAnsi="Microsoft Sans Serif" w:cs="Times New Roman"/>
                <w:color w:val="000000"/>
                <w:sz w:val="24"/>
              </w:rPr>
            </w:pPr>
            <w:r w:rsidRPr="004D437B">
              <w:rPr>
                <w:rFonts w:ascii="Microsoft Sans Serif" w:eastAsia="MS Mincho" w:hAnsi="Microsoft Sans Serif" w:cs="Times New Roman"/>
                <w:noProof/>
                <w:color w:val="000000"/>
                <w:sz w:val="24"/>
              </w:rPr>
              <w:drawing>
                <wp:inline distT="0" distB="0" distL="0" distR="0" wp14:anchorId="6395A969" wp14:editId="7F91150E">
                  <wp:extent cx="2657475" cy="17740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79239" cy="1788561"/>
                          </a:xfrm>
                          <a:prstGeom prst="rect">
                            <a:avLst/>
                          </a:prstGeom>
                          <a:noFill/>
                        </pic:spPr>
                      </pic:pic>
                    </a:graphicData>
                  </a:graphic>
                </wp:inline>
              </w:drawing>
            </w:r>
          </w:p>
        </w:tc>
      </w:tr>
    </w:tbl>
    <w:p w:rsidR="00EC4451" w:rsidRDefault="00EC4451" w:rsidP="00EC4451">
      <w:pPr>
        <w:rPr>
          <w:rFonts w:ascii="Gadugi" w:hAnsi="Gadugi"/>
          <w:b w:val="0"/>
          <w:color w:val="auto"/>
        </w:rPr>
      </w:pPr>
      <w:r w:rsidRPr="005E6D9B">
        <w:rPr>
          <w:rFonts w:ascii="Gadugi" w:hAnsi="Gadugi"/>
          <w:b w:val="0"/>
          <w:color w:val="auto"/>
        </w:rPr>
        <w:t>Your community can promote norms emphasizing that learning effective parenting skills is a process and every caregiver can use help at times.</w:t>
      </w:r>
    </w:p>
    <w:p w:rsidR="00EC4451" w:rsidRPr="00BA7EC7" w:rsidRDefault="00EC4451" w:rsidP="00EC4451">
      <w:pPr>
        <w:rPr>
          <w:rFonts w:ascii="Gadugi" w:hAnsi="Gadugi"/>
          <w:b w:val="0"/>
          <w:color w:val="auto"/>
        </w:rPr>
      </w:pPr>
      <w:hyperlink r:id="rId9" w:history="1">
        <w:r w:rsidRPr="00BA7EC7">
          <w:rPr>
            <w:rStyle w:val="Hyperlink"/>
            <w:rFonts w:ascii="Gadugi" w:hAnsi="Gadugi"/>
            <w:b w:val="0"/>
          </w:rPr>
          <w:t>https://www.cdc.gov/violenceprevention/pdf/essentials_for_childhood_framework.pdf</w:t>
        </w:r>
      </w:hyperlink>
      <w:r w:rsidRPr="00BA7EC7">
        <w:rPr>
          <w:rFonts w:ascii="Gadugi" w:hAnsi="Gadugi"/>
          <w:b w:val="0"/>
          <w:color w:val="auto"/>
        </w:rPr>
        <w:t xml:space="preserve">  </w:t>
      </w:r>
    </w:p>
    <w:p w:rsidR="00EC4451" w:rsidRPr="00EC4451" w:rsidRDefault="00EC4451" w:rsidP="00EC4451">
      <w:pPr>
        <w:rPr>
          <w:rFonts w:ascii="Gadugi" w:hAnsi="Gadugi"/>
          <w:b w:val="0"/>
          <w:i/>
          <w:color w:val="auto"/>
          <w:sz w:val="22"/>
        </w:rPr>
      </w:pPr>
    </w:p>
    <w:p w:rsidR="00EC4451" w:rsidRPr="00BA7EC7" w:rsidRDefault="00EC4451" w:rsidP="00EC4451">
      <w:pPr>
        <w:rPr>
          <w:rFonts w:ascii="Gadugi" w:hAnsi="Gadugi"/>
          <w:color w:val="auto"/>
        </w:rPr>
      </w:pPr>
      <w:r w:rsidRPr="00BA7EC7">
        <w:rPr>
          <w:rFonts w:ascii="Gadugi" w:hAnsi="Gadugi"/>
          <w:color w:val="auto"/>
        </w:rPr>
        <w:t>Resources</w:t>
      </w:r>
    </w:p>
    <w:p w:rsidR="00EC4451" w:rsidRDefault="00EC4451" w:rsidP="00EC4451">
      <w:pPr>
        <w:rPr>
          <w:rFonts w:ascii="Gadugi" w:hAnsi="Gadugi"/>
          <w:b w:val="0"/>
          <w:color w:val="auto"/>
        </w:rPr>
      </w:pPr>
      <w:hyperlink r:id="rId10" w:tgtFrame="_blank" w:history="1">
        <w:r w:rsidRPr="005E6D9B">
          <w:rPr>
            <w:rStyle w:val="Hyperlink"/>
            <w:rFonts w:ascii="Gadugi" w:hAnsi="Gadugi"/>
            <w:b w:val="0"/>
            <w:bCs/>
          </w:rPr>
          <w:t>About Adverse Childhood Experiences</w:t>
        </w:r>
      </w:hyperlink>
      <w:r w:rsidRPr="005E6D9B">
        <w:rPr>
          <w:rFonts w:ascii="Gadugi" w:hAnsi="Gadugi"/>
          <w:b w:val="0"/>
          <w:color w:val="auto"/>
        </w:rPr>
        <w:br/>
        <w:t xml:space="preserve">Centers for Disease Control and </w:t>
      </w:r>
      <w:r>
        <w:rPr>
          <w:rFonts w:ascii="Gadugi" w:hAnsi="Gadugi"/>
          <w:b w:val="0"/>
          <w:color w:val="auto"/>
        </w:rPr>
        <w:t>Prevention p</w:t>
      </w:r>
      <w:r w:rsidRPr="005E6D9B">
        <w:rPr>
          <w:rFonts w:ascii="Gadugi" w:hAnsi="Gadugi"/>
          <w:b w:val="0"/>
          <w:color w:val="auto"/>
        </w:rPr>
        <w:t>rovides an overview of adverse childhood experiences.</w:t>
      </w:r>
    </w:p>
    <w:p w:rsidR="00EC4451" w:rsidRPr="00EC4451" w:rsidRDefault="00EC4451" w:rsidP="00EC4451">
      <w:pPr>
        <w:rPr>
          <w:rFonts w:ascii="Gadugi" w:hAnsi="Gadugi"/>
          <w:b w:val="0"/>
          <w:color w:val="auto"/>
          <w:sz w:val="22"/>
        </w:rPr>
      </w:pPr>
    </w:p>
    <w:p w:rsidR="00EC4451" w:rsidRDefault="00EC4451" w:rsidP="00EC4451">
      <w:pPr>
        <w:rPr>
          <w:rFonts w:ascii="Gadugi" w:hAnsi="Gadugi"/>
          <w:b w:val="0"/>
          <w:color w:val="auto"/>
        </w:rPr>
      </w:pPr>
      <w:hyperlink r:id="rId11" w:tgtFrame="_blank" w:history="1">
        <w:r w:rsidRPr="005E6D9B">
          <w:rPr>
            <w:rStyle w:val="Hyperlink"/>
            <w:rFonts w:ascii="Gadugi" w:hAnsi="Gadugi"/>
            <w:b w:val="0"/>
            <w:bCs/>
          </w:rPr>
          <w:t>Adverse Childhood Experiences: Looking at How ACEs Affect Our Lives &amp; Society</w:t>
        </w:r>
      </w:hyperlink>
      <w:r w:rsidRPr="005E6D9B">
        <w:rPr>
          <w:rFonts w:ascii="Gadugi" w:hAnsi="Gadugi"/>
          <w:b w:val="0"/>
          <w:color w:val="auto"/>
        </w:rPr>
        <w:t> [Infographic</w:t>
      </w:r>
      <w:proofErr w:type="gramStart"/>
      <w:r w:rsidRPr="005E6D9B">
        <w:rPr>
          <w:rFonts w:ascii="Gadugi" w:hAnsi="Gadugi"/>
          <w:b w:val="0"/>
          <w:color w:val="auto"/>
        </w:rPr>
        <w:t>]</w:t>
      </w:r>
      <w:proofErr w:type="gramEnd"/>
      <w:r w:rsidRPr="005E6D9B">
        <w:rPr>
          <w:rFonts w:ascii="Gadugi" w:hAnsi="Gadugi"/>
          <w:b w:val="0"/>
          <w:color w:val="auto"/>
        </w:rPr>
        <w:br/>
        <w:t xml:space="preserve">Centers for </w:t>
      </w:r>
      <w:r>
        <w:rPr>
          <w:rFonts w:ascii="Gadugi" w:hAnsi="Gadugi"/>
          <w:b w:val="0"/>
          <w:color w:val="auto"/>
        </w:rPr>
        <w:t>Disease Control and Prevention d</w:t>
      </w:r>
      <w:r w:rsidRPr="005E6D9B">
        <w:rPr>
          <w:rFonts w:ascii="Gadugi" w:hAnsi="Gadugi"/>
          <w:b w:val="0"/>
          <w:color w:val="auto"/>
        </w:rPr>
        <w:t>iscusses the types of ACEs, their prevalence, their effects on physical and mental health and society, and strategies to address them.</w:t>
      </w:r>
    </w:p>
    <w:p w:rsidR="00EC4451" w:rsidRDefault="00EC4451" w:rsidP="00EC4451">
      <w:pPr>
        <w:rPr>
          <w:rFonts w:ascii="Gadugi" w:hAnsi="Gadugi"/>
          <w:b w:val="0"/>
          <w:color w:val="auto"/>
        </w:rPr>
      </w:pPr>
    </w:p>
    <w:p w:rsidR="00EC4451" w:rsidRDefault="00EC4451" w:rsidP="00EC4451">
      <w:pPr>
        <w:rPr>
          <w:rFonts w:ascii="Gadugi" w:hAnsi="Gadugi"/>
          <w:b w:val="0"/>
          <w:color w:val="auto"/>
        </w:rPr>
      </w:pPr>
    </w:p>
    <w:p w:rsidR="00EC4451" w:rsidRDefault="00EC4451" w:rsidP="00EC4451">
      <w:pPr>
        <w:rPr>
          <w:rFonts w:ascii="Gadugi" w:hAnsi="Gadugi"/>
          <w:b w:val="0"/>
          <w:color w:val="auto"/>
        </w:rPr>
      </w:pPr>
      <w:hyperlink r:id="rId12" w:tgtFrame="_blank" w:history="1">
        <w:r w:rsidRPr="005E6D9B">
          <w:rPr>
            <w:rStyle w:val="Hyperlink"/>
            <w:rFonts w:ascii="Gadugi" w:hAnsi="Gadugi"/>
            <w:b w:val="0"/>
            <w:bCs/>
          </w:rPr>
          <w:t>Essentials for Childhood Framework: Steps to Create Safe, Stable, Nurturing Relationships and Environments for All Children</w:t>
        </w:r>
      </w:hyperlink>
      <w:r w:rsidRPr="005E6D9B">
        <w:rPr>
          <w:rFonts w:ascii="Gadugi" w:hAnsi="Gadugi"/>
          <w:b w:val="0"/>
          <w:color w:val="auto"/>
        </w:rPr>
        <w:br/>
        <w:t xml:space="preserve">Centers for Disease Control and </w:t>
      </w:r>
    </w:p>
    <w:p w:rsidR="00EC4451" w:rsidRDefault="00EC4451" w:rsidP="00EC4451">
      <w:pPr>
        <w:rPr>
          <w:rFonts w:ascii="Gadugi" w:hAnsi="Gadugi"/>
          <w:b w:val="0"/>
          <w:color w:val="auto"/>
        </w:rPr>
      </w:pPr>
      <w:r>
        <w:rPr>
          <w:rFonts w:ascii="Gadugi" w:hAnsi="Gadugi"/>
          <w:b w:val="0"/>
          <w:color w:val="auto"/>
        </w:rPr>
        <w:t>Prevention e</w:t>
      </w:r>
      <w:r w:rsidRPr="005E6D9B">
        <w:rPr>
          <w:rFonts w:ascii="Gadugi" w:hAnsi="Gadugi"/>
          <w:b w:val="0"/>
          <w:color w:val="auto"/>
        </w:rPr>
        <w:t>xplains a strategic approach to building strong communities that support positive child and family development. The goals of the approach include raising awareness, making data-driven decisions, promoting positive norms, and assessing policies that affect families.</w:t>
      </w:r>
    </w:p>
    <w:p w:rsidR="00EC4451" w:rsidRPr="00EC4451" w:rsidRDefault="00EC4451" w:rsidP="00EC4451">
      <w:pPr>
        <w:rPr>
          <w:rFonts w:ascii="Gadugi" w:hAnsi="Gadugi"/>
          <w:b w:val="0"/>
          <w:color w:val="auto"/>
          <w:sz w:val="22"/>
        </w:rPr>
      </w:pPr>
    </w:p>
    <w:p w:rsidR="00EC4451" w:rsidRPr="005E6D9B" w:rsidRDefault="00EC4451" w:rsidP="00EC4451">
      <w:pPr>
        <w:rPr>
          <w:rFonts w:ascii="Gadugi" w:hAnsi="Gadugi"/>
          <w:b w:val="0"/>
          <w:color w:val="auto"/>
        </w:rPr>
      </w:pPr>
      <w:hyperlink r:id="rId13" w:tgtFrame="_blank" w:history="1">
        <w:r w:rsidRPr="005E6D9B">
          <w:rPr>
            <w:rStyle w:val="Hyperlink"/>
            <w:rFonts w:ascii="Gadugi" w:hAnsi="Gadugi"/>
            <w:b w:val="0"/>
            <w:bCs/>
          </w:rPr>
          <w:t>Preventing Child Abuse and Neglect: A Technical Package for Policy, Norm, and Programmatic Activities</w:t>
        </w:r>
      </w:hyperlink>
      <w:r>
        <w:rPr>
          <w:rFonts w:ascii="Gadugi" w:hAnsi="Gadugi"/>
          <w:b w:val="0"/>
          <w:color w:val="auto"/>
        </w:rPr>
        <w:t> </w:t>
      </w:r>
      <w:r w:rsidRPr="005E6D9B">
        <w:rPr>
          <w:rFonts w:ascii="Gadugi" w:hAnsi="Gadugi"/>
          <w:b w:val="0"/>
          <w:color w:val="auto"/>
        </w:rPr>
        <w:br/>
        <w:t>Centers for Diseas</w:t>
      </w:r>
      <w:r>
        <w:rPr>
          <w:rFonts w:ascii="Gadugi" w:hAnsi="Gadugi"/>
          <w:b w:val="0"/>
          <w:color w:val="auto"/>
        </w:rPr>
        <w:t>e Control and Prevention p</w:t>
      </w:r>
      <w:r w:rsidRPr="005E6D9B">
        <w:rPr>
          <w:rFonts w:ascii="Gadugi" w:hAnsi="Gadugi"/>
          <w:b w:val="0"/>
          <w:color w:val="auto"/>
        </w:rPr>
        <w:t>resents specific strategies to prevent child abuse from occurring and approaches to reduce the immediate and long-term effects of child abuse and neglect. The package offers information to inform policies at the community and state levels.</w:t>
      </w:r>
      <w:r>
        <w:rPr>
          <w:rFonts w:ascii="Gadugi" w:hAnsi="Gadugi"/>
          <w:b w:val="0"/>
          <w:color w:val="auto"/>
        </w:rPr>
        <w:t xml:space="preserve"> </w:t>
      </w:r>
    </w:p>
    <w:p w:rsidR="00EC4451" w:rsidRPr="005E6D9B" w:rsidRDefault="00EC4451" w:rsidP="00EC4451">
      <w:pPr>
        <w:rPr>
          <w:rFonts w:ascii="Gadugi" w:hAnsi="Gadugi"/>
          <w:b w:val="0"/>
          <w:color w:val="auto"/>
        </w:rPr>
      </w:pPr>
    </w:p>
    <w:p w:rsidR="00EC4451" w:rsidRPr="005E6D9B" w:rsidRDefault="00EC4451" w:rsidP="00EC4451">
      <w:pPr>
        <w:rPr>
          <w:rFonts w:ascii="Gadugi" w:hAnsi="Gadugi"/>
          <w:b w:val="0"/>
          <w:color w:val="auto"/>
        </w:rPr>
      </w:pPr>
    </w:p>
    <w:p w:rsidR="00EC4451" w:rsidRDefault="00EC4451" w:rsidP="00EC4451">
      <w:pPr>
        <w:rPr>
          <w:rFonts w:ascii="Gadugi" w:hAnsi="Gadugi"/>
          <w:color w:val="auto"/>
        </w:rPr>
      </w:pPr>
    </w:p>
    <w:p w:rsidR="00EC4451" w:rsidRDefault="00EC4451" w:rsidP="00EC4451">
      <w:pPr>
        <w:rPr>
          <w:rFonts w:ascii="Gadugi" w:hAnsi="Gadugi"/>
          <w:color w:val="auto"/>
        </w:rPr>
      </w:pPr>
    </w:p>
    <w:p w:rsidR="00EC4451" w:rsidRDefault="00EC4451" w:rsidP="00EC4451">
      <w:pPr>
        <w:rPr>
          <w:rFonts w:ascii="Gadugi" w:hAnsi="Gadugi"/>
          <w:color w:val="auto"/>
        </w:rPr>
      </w:pPr>
    </w:p>
    <w:p w:rsidR="00EC4451" w:rsidRDefault="00EC4451" w:rsidP="00EC4451">
      <w:pPr>
        <w:rPr>
          <w:rFonts w:ascii="Gadugi" w:hAnsi="Gadugi"/>
          <w:color w:val="auto"/>
        </w:rPr>
      </w:pPr>
    </w:p>
    <w:p w:rsidR="00EC4451" w:rsidRDefault="00EC4451" w:rsidP="00EC4451">
      <w:pPr>
        <w:rPr>
          <w:rFonts w:ascii="Gadugi" w:hAnsi="Gadugi"/>
          <w:color w:val="auto"/>
        </w:rPr>
      </w:pPr>
    </w:p>
    <w:p w:rsidR="00EC4451" w:rsidRDefault="00EC4451" w:rsidP="00EC4451">
      <w:pPr>
        <w:rPr>
          <w:rFonts w:ascii="Gadugi" w:hAnsi="Gadugi"/>
          <w:color w:val="auto"/>
        </w:rPr>
      </w:pPr>
    </w:p>
    <w:p w:rsidR="00EC4451" w:rsidRDefault="00EC4451" w:rsidP="00EC4451">
      <w:pPr>
        <w:rPr>
          <w:rFonts w:ascii="Gadugi" w:hAnsi="Gadugi"/>
          <w:color w:val="auto"/>
        </w:rPr>
      </w:pPr>
    </w:p>
    <w:p w:rsidR="00EC4451" w:rsidRDefault="00EC4451" w:rsidP="00EC4451">
      <w:pPr>
        <w:rPr>
          <w:rFonts w:ascii="Gadugi" w:hAnsi="Gadugi"/>
          <w:color w:val="auto"/>
        </w:rPr>
      </w:pPr>
    </w:p>
    <w:p w:rsidR="00EC4451" w:rsidRDefault="00EC4451" w:rsidP="00EC4451">
      <w:pPr>
        <w:rPr>
          <w:rFonts w:ascii="Gadugi" w:hAnsi="Gadugi"/>
          <w:color w:val="auto"/>
        </w:rPr>
      </w:pPr>
    </w:p>
    <w:p w:rsidR="00EC4451" w:rsidRPr="0008108F" w:rsidRDefault="00EC4451" w:rsidP="00EC4451">
      <w:pPr>
        <w:rPr>
          <w:rFonts w:ascii="Gadugi" w:hAnsi="Gadugi"/>
          <w:color w:val="auto"/>
        </w:rPr>
      </w:pPr>
      <w:r>
        <w:rPr>
          <w:noProof/>
        </w:rPr>
        <w:drawing>
          <wp:anchor distT="0" distB="0" distL="114300" distR="114300" simplePos="0" relativeHeight="251665408" behindDoc="0" locked="0" layoutInCell="1" allowOverlap="1" wp14:anchorId="7BE1BA36" wp14:editId="1DB19AD6">
            <wp:simplePos x="0" y="0"/>
            <wp:positionH relativeFrom="margin">
              <wp:align>center</wp:align>
            </wp:positionH>
            <wp:positionV relativeFrom="paragraph">
              <wp:posOffset>3895090</wp:posOffset>
            </wp:positionV>
            <wp:extent cx="1771650" cy="17716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su-seal-full-color.png"/>
                    <pic:cNvPicPr/>
                  </pic:nvPicPr>
                  <pic:blipFill>
                    <a:blip r:embed="rId14">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1" locked="0" layoutInCell="1" allowOverlap="1" wp14:anchorId="418DC8E7" wp14:editId="7761127E">
                <wp:simplePos x="0" y="0"/>
                <wp:positionH relativeFrom="margin">
                  <wp:align>center</wp:align>
                </wp:positionH>
                <wp:positionV relativeFrom="paragraph">
                  <wp:posOffset>3243580</wp:posOffset>
                </wp:positionV>
                <wp:extent cx="4514850" cy="140970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9700"/>
                        </a:xfrm>
                        <a:prstGeom prst="rect">
                          <a:avLst/>
                        </a:prstGeom>
                        <a:noFill/>
                        <a:ln w="9525">
                          <a:noFill/>
                          <a:miter lim="800000"/>
                          <a:headEnd/>
                          <a:tailEnd/>
                        </a:ln>
                      </wps:spPr>
                      <wps:txbx>
                        <w:txbxContent>
                          <w:p w:rsidR="00EC4451" w:rsidRDefault="00EC4451" w:rsidP="00EC4451">
                            <w:pPr>
                              <w:jc w:val="center"/>
                              <w:rPr>
                                <w:rFonts w:ascii="Mangal" w:hAnsi="Mangal"/>
                                <w:color w:val="D9E2F3" w:themeColor="accent5" w:themeTint="33"/>
                                <w:sz w:val="36"/>
                                <w:szCs w:val="36"/>
                              </w:rPr>
                            </w:pPr>
                            <w:r w:rsidRPr="00A96139">
                              <w:rPr>
                                <w:rFonts w:ascii="Mangal" w:hAnsi="Mangal"/>
                                <w:color w:val="D9E2F3" w:themeColor="accent5" w:themeTint="33"/>
                                <w:sz w:val="36"/>
                                <w:szCs w:val="36"/>
                              </w:rPr>
                              <w:t>Contact the Clearinghouse at 850-644-1715</w:t>
                            </w:r>
                          </w:p>
                          <w:p w:rsidR="00EC4451" w:rsidRPr="00A96139" w:rsidRDefault="00EC4451" w:rsidP="00EC4451">
                            <w:pPr>
                              <w:rPr>
                                <w:rFonts w:ascii="Mangal" w:hAnsi="Mangal"/>
                                <w:color w:val="D9E2F3" w:themeColor="accent5" w:themeTint="33"/>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DC8E7" id="_x0000_s1029" type="#_x0000_t202" style="position:absolute;margin-left:0;margin-top:255.4pt;width:355.5pt;height:111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" filled="f" stroked="f">
                <v:textbox>
                  <w:txbxContent>
                    <w:p w:rsidR="00EC4451" w:rsidRDefault="00EC4451" w:rsidP="00EC4451">
                      <w:pPr>
                        <w:jc w:val="center"/>
                        <w:rPr>
                          <w:rFonts w:ascii="Mangal" w:hAnsi="Mangal"/>
                          <w:color w:val="D9E2F3" w:themeColor="accent5" w:themeTint="33"/>
                          <w:sz w:val="36"/>
                          <w:szCs w:val="36"/>
                        </w:rPr>
                      </w:pPr>
                      <w:r w:rsidRPr="00A96139">
                        <w:rPr>
                          <w:rFonts w:ascii="Mangal" w:hAnsi="Mangal"/>
                          <w:color w:val="D9E2F3" w:themeColor="accent5" w:themeTint="33"/>
                          <w:sz w:val="36"/>
                          <w:szCs w:val="36"/>
                        </w:rPr>
                        <w:t>Contact the Clearinghouse at 850-644-1715</w:t>
                      </w:r>
                    </w:p>
                    <w:p w:rsidR="00EC4451" w:rsidRPr="00A96139" w:rsidRDefault="00EC4451" w:rsidP="00EC4451">
                      <w:pPr>
                        <w:rPr>
                          <w:rFonts w:ascii="Mangal" w:hAnsi="Mangal"/>
                          <w:color w:val="D9E2F3" w:themeColor="accent5" w:themeTint="33"/>
                          <w:sz w:val="36"/>
                          <w:szCs w:val="36"/>
                        </w:rPr>
                      </w:pPr>
                    </w:p>
                  </w:txbxContent>
                </v:textbox>
                <w10:wrap anchorx="margin"/>
              </v:shape>
            </w:pict>
          </mc:Fallback>
        </mc:AlternateContent>
      </w:r>
      <w:r>
        <w:rPr>
          <w:noProof/>
        </w:rPr>
        <mc:AlternateContent>
          <mc:Choice Requires="wps">
            <w:drawing>
              <wp:anchor distT="45720" distB="45720" distL="114300" distR="114300" simplePos="0" relativeHeight="251660288" behindDoc="1" locked="0" layoutInCell="1" allowOverlap="1" wp14:anchorId="620F5E0A" wp14:editId="02977FA0">
                <wp:simplePos x="0" y="0"/>
                <wp:positionH relativeFrom="margin">
                  <wp:posOffset>-436245</wp:posOffset>
                </wp:positionH>
                <wp:positionV relativeFrom="paragraph">
                  <wp:posOffset>5800090</wp:posOffset>
                </wp:positionV>
                <wp:extent cx="7362825" cy="34290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342900"/>
                        </a:xfrm>
                        <a:prstGeom prst="rect">
                          <a:avLst/>
                        </a:prstGeom>
                        <a:noFill/>
                        <a:ln w="9525">
                          <a:noFill/>
                          <a:miter lim="800000"/>
                          <a:headEnd/>
                          <a:tailEnd/>
                        </a:ln>
                      </wps:spPr>
                      <wps:txbx>
                        <w:txbxContent>
                          <w:p w:rsidR="00EC4451" w:rsidRPr="00A96139" w:rsidRDefault="00EC4451" w:rsidP="00EC4451">
                            <w:pPr>
                              <w:pStyle w:val="Header"/>
                              <w:jc w:val="center"/>
                              <w:rPr>
                                <w:color w:val="FFFFFF" w:themeColor="background1"/>
                              </w:rPr>
                            </w:pPr>
                            <w:r w:rsidRPr="00A96139">
                              <w:rPr>
                                <w:color w:val="FFFFFF" w:themeColor="background1"/>
                              </w:rPr>
                              <w:t>CLEARINGHOUSE ON SUPERVISED VISITATION | FLORIDA STATE UNIVERSITY</w:t>
                            </w:r>
                          </w:p>
                          <w:p w:rsidR="00EC4451" w:rsidRPr="00A96139" w:rsidRDefault="00EC4451" w:rsidP="00EC4451">
                            <w:pPr>
                              <w:jc w:val="center"/>
                              <w:rPr>
                                <w:rFonts w:ascii="Mangal" w:hAnsi="Mangal"/>
                                <w:color w:val="D9E2F3" w:themeColor="accent5" w:themeTint="33"/>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F5E0A" id="_x0000_s1030" type="#_x0000_t202" style="position:absolute;margin-left:-34.35pt;margin-top:456.7pt;width:579.75pt;height:2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" filled="f" stroked="f">
                <v:textbox>
                  <w:txbxContent>
                    <w:p w:rsidR="00EC4451" w:rsidRPr="00A96139" w:rsidRDefault="00EC4451" w:rsidP="00EC4451">
                      <w:pPr>
                        <w:pStyle w:val="Header"/>
                        <w:jc w:val="center"/>
                        <w:rPr>
                          <w:color w:val="FFFFFF" w:themeColor="background1"/>
                        </w:rPr>
                      </w:pPr>
                      <w:r w:rsidRPr="00A96139">
                        <w:rPr>
                          <w:color w:val="FFFFFF" w:themeColor="background1"/>
                        </w:rPr>
                        <w:t>CLEARINGHOUSE ON SUPERVISED VISITATION | FLORIDA STATE UNIVERSITY</w:t>
                      </w:r>
                    </w:p>
                    <w:p w:rsidR="00EC4451" w:rsidRPr="00A96139" w:rsidRDefault="00EC4451" w:rsidP="00EC4451">
                      <w:pPr>
                        <w:jc w:val="center"/>
                        <w:rPr>
                          <w:rFonts w:ascii="Mangal" w:hAnsi="Mangal"/>
                          <w:color w:val="D9E2F3" w:themeColor="accent5" w:themeTint="33"/>
                          <w:sz w:val="40"/>
                          <w:szCs w:val="40"/>
                        </w:rPr>
                      </w:pP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0907D660" wp14:editId="0CB7CBAA">
                <wp:simplePos x="0" y="0"/>
                <wp:positionH relativeFrom="margin">
                  <wp:posOffset>-407670</wp:posOffset>
                </wp:positionH>
                <wp:positionV relativeFrom="page">
                  <wp:posOffset>6591300</wp:posOffset>
                </wp:positionV>
                <wp:extent cx="7162800" cy="3162300"/>
                <wp:effectExtent l="0" t="0" r="0" b="0"/>
                <wp:wrapNone/>
                <wp:docPr id="44" name="Rectangle 44" descr="colored rectangle"/>
                <wp:cNvGraphicFramePr/>
                <a:graphic xmlns:a="http://schemas.openxmlformats.org/drawingml/2006/main">
                  <a:graphicData uri="http://schemas.microsoft.com/office/word/2010/wordprocessingShape">
                    <wps:wsp>
                      <wps:cNvSpPr/>
                      <wps:spPr>
                        <a:xfrm>
                          <a:off x="0" y="0"/>
                          <a:ext cx="7162800" cy="3162300"/>
                        </a:xfrm>
                        <a:prstGeom prst="rect">
                          <a:avLst/>
                        </a:prstGeom>
                        <a:solidFill>
                          <a:srgbClr val="782F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E516E" id="Rectangle 44" o:spid="_x0000_s1026" alt="colored rectangle" style="position:absolute;margin-left:-32.1pt;margin-top:519pt;width:564pt;height:24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" fillcolor="#782f40" stroked="f" strokeweight="1pt">
                <w10:wrap anchorx="margin" anchory="page"/>
              </v:rect>
            </w:pict>
          </mc:Fallback>
        </mc:AlternateContent>
      </w:r>
      <w:r w:rsidRPr="00D967AC">
        <w:rPr>
          <w:noProof/>
        </w:rPr>
        <w:drawing>
          <wp:anchor distT="0" distB="0" distL="114300" distR="114300" simplePos="0" relativeHeight="251662336" behindDoc="0" locked="0" layoutInCell="1" allowOverlap="1" wp14:anchorId="020CF85E" wp14:editId="46A0DA89">
            <wp:simplePos x="0" y="0"/>
            <wp:positionH relativeFrom="margin">
              <wp:align>center</wp:align>
            </wp:positionH>
            <wp:positionV relativeFrom="paragraph">
              <wp:posOffset>6911340</wp:posOffset>
            </wp:positionV>
            <wp:extent cx="1082040" cy="1120140"/>
            <wp:effectExtent l="0" t="0" r="3810" b="3810"/>
            <wp:wrapNone/>
            <wp:docPr id="47"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2040" cy="1120140"/>
                    </a:xfrm>
                    <a:prstGeom prst="rect">
                      <a:avLst/>
                    </a:prstGeom>
                  </pic:spPr>
                </pic:pic>
              </a:graphicData>
            </a:graphic>
            <wp14:sizeRelH relativeFrom="margin">
              <wp14:pctWidth>0</wp14:pctWidth>
            </wp14:sizeRelH>
            <wp14:sizeRelV relativeFrom="margin">
              <wp14:pctHeight>0</wp14:pctHeight>
            </wp14:sizeRelV>
          </wp:anchor>
        </w:drawing>
      </w:r>
    </w:p>
    <w:p w:rsidR="004831EE" w:rsidRDefault="00C04811"/>
    <w:sectPr w:rsidR="004831EE" w:rsidSect="00EC4451">
      <w:type w:val="continuous"/>
      <w:pgSz w:w="12240" w:h="15840"/>
      <w:pgMar w:top="720" w:right="1152" w:bottom="720" w:left="1152" w:header="0" w:footer="288" w:gutter="0"/>
      <w:pgBorders w:offsetFrom="page">
        <w:top w:val="single" w:sz="2" w:space="24" w:color="782F40"/>
        <w:left w:val="single" w:sz="2" w:space="24" w:color="782F40"/>
        <w:bottom w:val="single" w:sz="2" w:space="24" w:color="782F40"/>
        <w:right w:val="single" w:sz="2" w:space="24" w:color="782F40"/>
      </w:pgBorders>
      <w:pgNumType w:start="1"/>
      <w:cols w:num="2"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11" w:rsidRDefault="00C04811" w:rsidP="00EC4451">
      <w:pPr>
        <w:spacing w:line="240" w:lineRule="auto"/>
      </w:pPr>
      <w:r>
        <w:separator/>
      </w:r>
    </w:p>
  </w:endnote>
  <w:endnote w:type="continuationSeparator" w:id="0">
    <w:p w:rsidR="00C04811" w:rsidRDefault="00C04811" w:rsidP="00EC4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11" w:rsidRDefault="00C04811" w:rsidP="00EC4451">
      <w:pPr>
        <w:spacing w:line="240" w:lineRule="auto"/>
      </w:pPr>
      <w:r>
        <w:separator/>
      </w:r>
    </w:p>
  </w:footnote>
  <w:footnote w:type="continuationSeparator" w:id="0">
    <w:p w:rsidR="00C04811" w:rsidRDefault="00C04811" w:rsidP="00EC4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1NTQxMDExM7AwM7RU0lEKTi0uzszPAykwrAUAm8I4lywAAAA="/>
  </w:docVars>
  <w:rsids>
    <w:rsidRoot w:val="00EC4451"/>
    <w:rsid w:val="00363CBA"/>
    <w:rsid w:val="005847F4"/>
    <w:rsid w:val="00C04811"/>
    <w:rsid w:val="00EC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C869"/>
  <w15:chartTrackingRefBased/>
  <w15:docId w15:val="{03303D5C-42CB-4CF4-8C49-B983BE2E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451"/>
    <w:pPr>
      <w:spacing w:after="0" w:line="276" w:lineRule="auto"/>
    </w:pPr>
    <w:rPr>
      <w:rFonts w:eastAsiaTheme="minorEastAsia"/>
      <w:b/>
      <w:color w:val="44546A"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
    <w:unhideWhenUsed/>
    <w:rsid w:val="00EC4451"/>
  </w:style>
  <w:style w:type="character" w:customStyle="1" w:styleId="HeaderChar">
    <w:name w:val="Header Char"/>
    <w:basedOn w:val="DefaultParagraphFont"/>
    <w:link w:val="Header"/>
    <w:uiPriority w:val="8"/>
    <w:rsid w:val="00EC4451"/>
    <w:rPr>
      <w:rFonts w:eastAsiaTheme="minorEastAsia"/>
      <w:b/>
      <w:color w:val="44546A" w:themeColor="text2"/>
      <w:sz w:val="28"/>
    </w:rPr>
  </w:style>
  <w:style w:type="table" w:styleId="TableGrid">
    <w:name w:val="Table Grid"/>
    <w:basedOn w:val="TableNormal"/>
    <w:uiPriority w:val="39"/>
    <w:rsid w:val="00EC445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451"/>
    <w:rPr>
      <w:color w:val="0563C1" w:themeColor="hyperlink"/>
      <w:u w:val="single"/>
    </w:rPr>
  </w:style>
  <w:style w:type="table" w:customStyle="1" w:styleId="TableGrid2">
    <w:name w:val="Table Grid2"/>
    <w:basedOn w:val="TableNormal"/>
    <w:next w:val="TableGrid"/>
    <w:uiPriority w:val="39"/>
    <w:rsid w:val="00EC4451"/>
    <w:pPr>
      <w:spacing w:after="0" w:line="240" w:lineRule="auto"/>
    </w:pPr>
    <w:rPr>
      <w:rFonts w:eastAsia="MS Mincho"/>
      <w:color w:val="595959"/>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4451"/>
    <w:pPr>
      <w:tabs>
        <w:tab w:val="center" w:pos="4680"/>
        <w:tab w:val="right" w:pos="9360"/>
      </w:tabs>
      <w:spacing w:line="240" w:lineRule="auto"/>
    </w:pPr>
  </w:style>
  <w:style w:type="character" w:customStyle="1" w:styleId="FooterChar">
    <w:name w:val="Footer Char"/>
    <w:basedOn w:val="DefaultParagraphFont"/>
    <w:link w:val="Footer"/>
    <w:uiPriority w:val="99"/>
    <w:rsid w:val="00EC4451"/>
    <w:rPr>
      <w:rFonts w:eastAsiaTheme="minorEastAsia"/>
      <w:b/>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b.ebscohost.com/eds/pdfviewer/pdfviewer?vid=1&amp;sid=7ef57b40-a18d-4529-8c26-9cb2b1685ffb%40sessionmgr101" TargetMode="External"/><Relationship Id="rId13" Type="http://schemas.openxmlformats.org/officeDocument/2006/relationships/hyperlink" Target="https://www.cdc.gov/violenceprevention/pdf/can-prevention-technical-package.pdf"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cdc.gov/violenceprevention/childmaltreatment/essential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vetoviolence.cdc.gov/apps/phl/resource_center_infographic.html"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www.cdc.gov/violenceprevention/acestudy/about_ace.html" TargetMode="External"/><Relationship Id="rId4" Type="http://schemas.openxmlformats.org/officeDocument/2006/relationships/footnotes" Target="footnotes.xml"/><Relationship Id="rId9" Type="http://schemas.openxmlformats.org/officeDocument/2006/relationships/hyperlink" Target="https://www.cdc.gov/violenceprevention/pdf/essentials_for_childhood_framework.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 Bradley</dc:creator>
  <cp:keywords/>
  <dc:description/>
  <cp:lastModifiedBy>Lyndi Bradley</cp:lastModifiedBy>
  <cp:revision>1</cp:revision>
  <dcterms:created xsi:type="dcterms:W3CDTF">2018-09-04T16:16:00Z</dcterms:created>
  <dcterms:modified xsi:type="dcterms:W3CDTF">2018-09-04T16:22:00Z</dcterms:modified>
</cp:coreProperties>
</file>